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42C1AB" w14:textId="7A37759E" w:rsidR="0011469A" w:rsidRDefault="0011469A" w:rsidP="0011469A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GoBack"/>
      <w:bookmarkEnd w:id="0"/>
      <w:r>
        <w:rPr>
          <w:bCs/>
          <w:noProof w:val="0"/>
          <w:sz w:val="24"/>
          <w:szCs w:val="24"/>
        </w:rPr>
        <w:t>3GPP T</w:t>
      </w:r>
      <w:r w:rsidR="0078279A">
        <w:rPr>
          <w:bCs/>
          <w:noProof w:val="0"/>
          <w:sz w:val="24"/>
          <w:szCs w:val="24"/>
        </w:rPr>
        <w:t>SG-RAN WG2 Meeting #103</w:t>
      </w:r>
      <w:r w:rsidR="00B435BB">
        <w:rPr>
          <w:bCs/>
          <w:noProof w:val="0"/>
          <w:sz w:val="24"/>
          <w:szCs w:val="24"/>
        </w:rPr>
        <w:t>bis</w:t>
      </w:r>
      <w:r w:rsidR="0078279A">
        <w:rPr>
          <w:bCs/>
          <w:noProof w:val="0"/>
          <w:sz w:val="24"/>
          <w:szCs w:val="24"/>
        </w:rPr>
        <w:tab/>
        <w:t>R2-181</w:t>
      </w:r>
      <w:r w:rsidR="00AF20AA">
        <w:rPr>
          <w:bCs/>
          <w:noProof w:val="0"/>
          <w:sz w:val="24"/>
          <w:szCs w:val="24"/>
        </w:rPr>
        <w:t>4457</w:t>
      </w:r>
    </w:p>
    <w:p w14:paraId="2E0CA08D" w14:textId="587967F5" w:rsidR="0011469A" w:rsidRDefault="00B435BB" w:rsidP="0011469A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Chengdu, China, 8 - 12</w:t>
      </w:r>
      <w:r w:rsidR="0011469A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>October</w:t>
      </w:r>
      <w:r w:rsidR="0011469A">
        <w:rPr>
          <w:rFonts w:eastAsia="SimSun"/>
          <w:noProof w:val="0"/>
          <w:sz w:val="24"/>
          <w:szCs w:val="24"/>
          <w:lang w:eastAsia="zh-CN"/>
        </w:rPr>
        <w:t xml:space="preserve"> 2018</w:t>
      </w:r>
      <w:r w:rsidR="0011469A">
        <w:rPr>
          <w:rFonts w:eastAsia="SimSun"/>
          <w:noProof w:val="0"/>
          <w:sz w:val="24"/>
          <w:szCs w:val="24"/>
          <w:lang w:eastAsia="zh-CN"/>
        </w:rPr>
        <w:tab/>
      </w:r>
      <w:r w:rsidRPr="00B435BB">
        <w:rPr>
          <w:rFonts w:eastAsia="SimSun"/>
          <w:b w:val="0"/>
          <w:noProof w:val="0"/>
          <w:sz w:val="16"/>
          <w:szCs w:val="16"/>
          <w:lang w:eastAsia="zh-CN"/>
        </w:rPr>
        <w:t>re</w:t>
      </w:r>
      <w:r w:rsidR="009C52CF">
        <w:rPr>
          <w:rFonts w:eastAsia="SimSun"/>
          <w:b w:val="0"/>
          <w:noProof w:val="0"/>
          <w:sz w:val="16"/>
          <w:szCs w:val="16"/>
          <w:lang w:eastAsia="zh-CN"/>
        </w:rPr>
        <w:t>vision</w:t>
      </w:r>
      <w:r w:rsidRPr="00B435BB">
        <w:rPr>
          <w:rFonts w:eastAsia="SimSun"/>
          <w:b w:val="0"/>
          <w:noProof w:val="0"/>
          <w:sz w:val="16"/>
          <w:szCs w:val="16"/>
          <w:lang w:eastAsia="zh-CN"/>
        </w:rPr>
        <w:t xml:space="preserve"> of R2-1812312</w:t>
      </w:r>
    </w:p>
    <w:p w14:paraId="231362B2" w14:textId="72E0EF21" w:rsidR="00CD4C7B" w:rsidRPr="00B266B0" w:rsidRDefault="00364B41" w:rsidP="68D97D0E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ab/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232657E7" w:rsidR="00CD4C7B" w:rsidRPr="00B266B0" w:rsidRDefault="00CD4C7B" w:rsidP="68D97D0E">
      <w:pPr>
        <w:pStyle w:val="CRCoverPage"/>
        <w:tabs>
          <w:tab w:val="left" w:pos="1985"/>
        </w:tabs>
        <w:rPr>
          <w:rFonts w:eastAsia="Arial" w:cs="Arial"/>
          <w:b/>
          <w:bCs/>
          <w:sz w:val="24"/>
          <w:szCs w:val="24"/>
          <w:lang w:eastAsia="ja-JP"/>
        </w:rPr>
      </w:pPr>
      <w:r w:rsidRPr="68D97D0E">
        <w:rPr>
          <w:b/>
          <w:bCs/>
          <w:sz w:val="24"/>
          <w:szCs w:val="24"/>
        </w:rPr>
        <w:t>Agenda item:</w:t>
      </w:r>
      <w:r>
        <w:rPr>
          <w:rFonts w:cs="Arial"/>
          <w:b/>
          <w:bCs/>
          <w:sz w:val="24"/>
        </w:rPr>
        <w:tab/>
      </w:r>
      <w:r w:rsidR="00222076" w:rsidRPr="68D97D0E">
        <w:rPr>
          <w:b/>
          <w:bCs/>
          <w:sz w:val="24"/>
          <w:szCs w:val="24"/>
          <w:lang w:eastAsia="ja-JP"/>
        </w:rPr>
        <w:t>10</w:t>
      </w:r>
      <w:r w:rsidR="002747EC" w:rsidRPr="68D97D0E">
        <w:rPr>
          <w:rFonts w:eastAsia="Arial" w:cs="Arial"/>
          <w:b/>
          <w:bCs/>
          <w:sz w:val="24"/>
          <w:szCs w:val="24"/>
          <w:lang w:eastAsia="ja-JP"/>
        </w:rPr>
        <w:t>.</w:t>
      </w:r>
      <w:r w:rsidR="00222076" w:rsidRPr="68D97D0E">
        <w:rPr>
          <w:b/>
          <w:bCs/>
          <w:sz w:val="24"/>
          <w:szCs w:val="24"/>
          <w:lang w:eastAsia="ja-JP"/>
        </w:rPr>
        <w:t>4</w:t>
      </w:r>
      <w:r w:rsidR="002747EC" w:rsidRPr="68D97D0E">
        <w:rPr>
          <w:rFonts w:eastAsia="Arial" w:cs="Arial"/>
          <w:b/>
          <w:bCs/>
          <w:sz w:val="24"/>
          <w:szCs w:val="24"/>
          <w:lang w:eastAsia="ja-JP"/>
        </w:rPr>
        <w:t>.</w:t>
      </w:r>
      <w:r w:rsidR="009F234B">
        <w:rPr>
          <w:b/>
          <w:bCs/>
          <w:sz w:val="24"/>
          <w:szCs w:val="24"/>
          <w:lang w:eastAsia="ja-JP"/>
        </w:rPr>
        <w:t>1</w:t>
      </w:r>
      <w:r w:rsidR="00222076" w:rsidRPr="68D97D0E">
        <w:rPr>
          <w:b/>
          <w:bCs/>
          <w:sz w:val="24"/>
          <w:szCs w:val="24"/>
          <w:lang w:eastAsia="ja-JP"/>
        </w:rPr>
        <w:t>.</w:t>
      </w:r>
      <w:r w:rsidR="007B08B0">
        <w:rPr>
          <w:b/>
          <w:bCs/>
          <w:sz w:val="24"/>
          <w:szCs w:val="24"/>
          <w:lang w:eastAsia="ja-JP"/>
        </w:rPr>
        <w:t>4.</w:t>
      </w:r>
      <w:r w:rsidR="00120F36">
        <w:rPr>
          <w:b/>
          <w:bCs/>
          <w:sz w:val="24"/>
          <w:szCs w:val="24"/>
          <w:lang w:eastAsia="ja-JP"/>
        </w:rPr>
        <w:t>1</w:t>
      </w:r>
    </w:p>
    <w:p w14:paraId="6A1BC0C1" w14:textId="2FF76E31" w:rsidR="00CD4C7B" w:rsidRPr="00B266B0" w:rsidRDefault="00CD4C7B" w:rsidP="68D97D0E">
      <w:pPr>
        <w:tabs>
          <w:tab w:val="left" w:pos="1985"/>
        </w:tabs>
        <w:ind w:left="1985" w:hanging="1985"/>
        <w:rPr>
          <w:rFonts w:ascii="Arial" w:eastAsia="Arial" w:hAnsi="Arial" w:cs="Arial"/>
          <w:b/>
          <w:bCs/>
          <w:sz w:val="24"/>
          <w:szCs w:val="24"/>
        </w:rPr>
      </w:pPr>
      <w:r w:rsidRPr="68D97D0E">
        <w:rPr>
          <w:rFonts w:ascii="Arial" w:eastAsia="Arial" w:hAnsi="Arial" w:cs="Arial"/>
          <w:b/>
          <w:bCs/>
          <w:sz w:val="24"/>
          <w:szCs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 w:rsidRPr="68D97D0E">
        <w:rPr>
          <w:rFonts w:ascii="Arial" w:eastAsia="Arial" w:hAnsi="Arial" w:cs="Arial"/>
          <w:b/>
          <w:bCs/>
          <w:sz w:val="24"/>
          <w:szCs w:val="24"/>
        </w:rPr>
        <w:t>Nokia</w:t>
      </w:r>
      <w:r w:rsidR="00090468" w:rsidRPr="68D97D0E">
        <w:rPr>
          <w:rFonts w:ascii="Arial" w:eastAsia="Arial" w:hAnsi="Arial" w:cs="Arial"/>
          <w:b/>
          <w:bCs/>
          <w:sz w:val="24"/>
          <w:szCs w:val="24"/>
        </w:rPr>
        <w:t xml:space="preserve">, </w:t>
      </w:r>
      <w:r w:rsidR="00325AE3" w:rsidRPr="68D97D0E">
        <w:rPr>
          <w:rFonts w:ascii="Arial" w:eastAsia="Arial" w:hAnsi="Arial" w:cs="Arial"/>
          <w:b/>
          <w:bCs/>
          <w:sz w:val="24"/>
          <w:szCs w:val="24"/>
        </w:rPr>
        <w:t>Nokia</w:t>
      </w:r>
      <w:r w:rsidR="00090468" w:rsidRPr="68D97D0E">
        <w:rPr>
          <w:rFonts w:ascii="Arial" w:eastAsia="Arial" w:hAnsi="Arial" w:cs="Arial"/>
          <w:b/>
          <w:bCs/>
          <w:sz w:val="24"/>
          <w:szCs w:val="24"/>
        </w:rPr>
        <w:t xml:space="preserve"> Shanghai Bell</w:t>
      </w:r>
    </w:p>
    <w:p w14:paraId="45BE90BE" w14:textId="6A2E330D" w:rsidR="00CD4C7B" w:rsidRDefault="00CD4C7B" w:rsidP="68D97D0E">
      <w:pPr>
        <w:ind w:left="1985" w:hanging="1985"/>
        <w:rPr>
          <w:rFonts w:ascii="Arial" w:eastAsia="Arial" w:hAnsi="Arial" w:cs="Arial"/>
          <w:b/>
          <w:bCs/>
          <w:sz w:val="24"/>
          <w:szCs w:val="24"/>
        </w:rPr>
      </w:pPr>
      <w:r w:rsidRPr="68D97D0E">
        <w:rPr>
          <w:rFonts w:ascii="Arial" w:eastAsia="Arial" w:hAnsi="Arial" w:cs="Arial"/>
          <w:b/>
          <w:bCs/>
          <w:sz w:val="24"/>
          <w:szCs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78279A" w:rsidRPr="0078279A">
        <w:rPr>
          <w:rFonts w:ascii="Arial" w:hAnsi="Arial" w:cs="Arial"/>
          <w:b/>
          <w:bCs/>
          <w:sz w:val="24"/>
        </w:rPr>
        <w:t>On the neighbourhood in A3 and A6 events</w:t>
      </w:r>
    </w:p>
    <w:p w14:paraId="3AC3A0B1" w14:textId="2465DA0E" w:rsidR="00CD4C7B" w:rsidRPr="00B266B0" w:rsidRDefault="00CD4C7B" w:rsidP="68D97D0E">
      <w:pPr>
        <w:ind w:left="1985" w:hanging="1985"/>
        <w:rPr>
          <w:rFonts w:ascii="Arial" w:eastAsia="Arial" w:hAnsi="Arial" w:cs="Arial"/>
          <w:b/>
          <w:bCs/>
          <w:sz w:val="24"/>
          <w:szCs w:val="24"/>
        </w:rPr>
      </w:pPr>
      <w:r w:rsidRPr="68D97D0E">
        <w:rPr>
          <w:rFonts w:ascii="Arial" w:eastAsia="Arial" w:hAnsi="Arial" w:cs="Arial"/>
          <w:b/>
          <w:bCs/>
          <w:sz w:val="24"/>
          <w:szCs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68D97D0E">
        <w:rPr>
          <w:rFonts w:ascii="Arial" w:eastAsia="Arial" w:hAnsi="Arial" w:cs="Arial"/>
          <w:b/>
          <w:bCs/>
          <w:sz w:val="24"/>
          <w:szCs w:val="24"/>
        </w:rPr>
        <w:t xml:space="preserve">NR_newRAT-Core </w:t>
      </w:r>
      <w:r w:rsidR="00D80795" w:rsidRPr="68D97D0E">
        <w:rPr>
          <w:rFonts w:ascii="Arial" w:eastAsia="Arial" w:hAnsi="Arial" w:cs="Arial"/>
          <w:b/>
          <w:bCs/>
          <w:sz w:val="24"/>
          <w:szCs w:val="24"/>
        </w:rPr>
        <w:t>-</w:t>
      </w:r>
      <w:r w:rsidRPr="68D97D0E">
        <w:rPr>
          <w:rFonts w:ascii="Arial" w:eastAsia="Arial" w:hAnsi="Arial" w:cs="Arial"/>
          <w:b/>
          <w:bCs/>
          <w:sz w:val="24"/>
          <w:szCs w:val="24"/>
        </w:rPr>
        <w:t xml:space="preserve"> Release</w:t>
      </w:r>
      <w:r w:rsidR="00D80795" w:rsidRPr="68D97D0E"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 w:rsidR="00970DB3" w:rsidRPr="68D97D0E">
        <w:rPr>
          <w:rFonts w:ascii="Arial" w:eastAsia="Arial" w:hAnsi="Arial" w:cs="Arial"/>
          <w:b/>
          <w:bCs/>
          <w:sz w:val="24"/>
          <w:szCs w:val="24"/>
        </w:rPr>
        <w:t>15</w:t>
      </w:r>
    </w:p>
    <w:p w14:paraId="7DF86DB4" w14:textId="77777777" w:rsidR="00CD4C7B" w:rsidRPr="00B266B0" w:rsidRDefault="00CD4C7B" w:rsidP="68D97D0E">
      <w:pPr>
        <w:tabs>
          <w:tab w:val="left" w:pos="1985"/>
        </w:tabs>
        <w:rPr>
          <w:rFonts w:ascii="Arial" w:eastAsia="Arial" w:hAnsi="Arial" w:cs="Arial"/>
          <w:b/>
          <w:bCs/>
          <w:sz w:val="24"/>
          <w:szCs w:val="24"/>
        </w:rPr>
      </w:pPr>
      <w:r w:rsidRPr="68D97D0E">
        <w:rPr>
          <w:rFonts w:ascii="Arial" w:eastAsia="Arial" w:hAnsi="Arial" w:cs="Arial"/>
          <w:b/>
          <w:bCs/>
          <w:sz w:val="24"/>
          <w:szCs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Pr="68D97D0E">
        <w:rPr>
          <w:rFonts w:ascii="Arial" w:eastAsia="Arial" w:hAnsi="Arial" w:cs="Arial"/>
          <w:b/>
          <w:bCs/>
          <w:sz w:val="24"/>
          <w:szCs w:val="24"/>
        </w:rPr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562FD11B" w14:textId="13B3672E" w:rsidR="00902977" w:rsidRDefault="00100C41" w:rsidP="0064188A">
      <w:pPr>
        <w:jc w:val="both"/>
      </w:pPr>
      <w:r>
        <w:t>During RAN2-NR-AH1807 (July 2018</w:t>
      </w:r>
      <w:r w:rsidR="00902977">
        <w:t xml:space="preserve">, </w:t>
      </w:r>
      <w:r w:rsidR="00F72293">
        <w:t xml:space="preserve">meeting </w:t>
      </w:r>
      <w:r w:rsidR="00902977">
        <w:t xml:space="preserve">minutes in </w:t>
      </w:r>
      <w:r w:rsidR="00902977">
        <w:fldChar w:fldCharType="begin"/>
      </w:r>
      <w:r w:rsidR="00902977">
        <w:instrText xml:space="preserve"> REF _Ref521333516 \r \h </w:instrText>
      </w:r>
      <w:r w:rsidR="00902977">
        <w:fldChar w:fldCharType="separate"/>
      </w:r>
      <w:r w:rsidR="00902977">
        <w:t>[1]</w:t>
      </w:r>
      <w:r w:rsidR="00902977">
        <w:fldChar w:fldCharType="end"/>
      </w:r>
      <w:r>
        <w:t xml:space="preserve">), it was discussed and decided to adopt the </w:t>
      </w:r>
      <w:r w:rsidR="001A656D">
        <w:t>changes related to A4 and A5</w:t>
      </w:r>
      <w:r w:rsidR="00ED56D6">
        <w:t xml:space="preserve"> </w:t>
      </w:r>
      <w:r w:rsidR="001A656D">
        <w:t>with respect to the serving cell definition</w:t>
      </w:r>
      <w:r w:rsidR="00902977">
        <w:t xml:space="preserve"> </w:t>
      </w:r>
      <w:r w:rsidR="00902977">
        <w:fldChar w:fldCharType="begin"/>
      </w:r>
      <w:r w:rsidR="00902977">
        <w:instrText xml:space="preserve"> REF _Ref521333532 \r \h </w:instrText>
      </w:r>
      <w:r w:rsidR="00902977">
        <w:fldChar w:fldCharType="separate"/>
      </w:r>
      <w:r w:rsidR="00902977">
        <w:t>[2]</w:t>
      </w:r>
      <w:r w:rsidR="00902977">
        <w:fldChar w:fldCharType="end"/>
      </w:r>
      <w:r w:rsidR="001A656D">
        <w:t xml:space="preserve">. However, it </w:t>
      </w:r>
      <w:r w:rsidR="00902977">
        <w:t xml:space="preserve">also </w:t>
      </w:r>
      <w:r w:rsidR="001A656D">
        <w:t xml:space="preserve">became apparent during the offline discussion #56 that companies still have divergent views whether serving cells can be also considered as neighbours for the remaining events </w:t>
      </w:r>
      <w:proofErr w:type="spellStart"/>
      <w:r w:rsidR="001A656D">
        <w:t>Ax</w:t>
      </w:r>
      <w:proofErr w:type="spellEnd"/>
      <w:r w:rsidR="001A656D">
        <w:t xml:space="preserve"> (i.e. A3 and A6).</w:t>
      </w:r>
      <w:r w:rsidR="68D97D0E">
        <w:t xml:space="preserve"> </w:t>
      </w:r>
      <w:proofErr w:type="gramStart"/>
      <w:r w:rsidR="00902977">
        <w:t>In particular, the</w:t>
      </w:r>
      <w:proofErr w:type="gramEnd"/>
      <w:r w:rsidR="00902977">
        <w:t xml:space="preserve"> following text from</w:t>
      </w:r>
      <w:r w:rsidR="00E47AF3">
        <w:t xml:space="preserve"> 5.5.4.1 of</w:t>
      </w:r>
      <w:r w:rsidR="00902977">
        <w:t xml:space="preserve"> </w:t>
      </w:r>
      <w:r w:rsidR="00902977">
        <w:fldChar w:fldCharType="begin"/>
      </w:r>
      <w:r w:rsidR="00902977">
        <w:instrText xml:space="preserve"> REF _Ref521333583 \r \h </w:instrText>
      </w:r>
      <w:r w:rsidR="00902977">
        <w:fldChar w:fldCharType="separate"/>
      </w:r>
      <w:r w:rsidR="00902977">
        <w:t>[3]</w:t>
      </w:r>
      <w:r w:rsidR="00902977">
        <w:fldChar w:fldCharType="end"/>
      </w:r>
      <w:r w:rsidR="00902977">
        <w:t xml:space="preserve"> was interpreted in various ways: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02977" w14:paraId="798B598A" w14:textId="77777777" w:rsidTr="00902977">
        <w:tc>
          <w:tcPr>
            <w:tcW w:w="9631" w:type="dxa"/>
          </w:tcPr>
          <w:p w14:paraId="3290D6C0" w14:textId="1FE8003F" w:rsidR="00902977" w:rsidRDefault="00E47AF3" w:rsidP="00E47A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E47AF3">
              <w:rPr>
                <w:lang w:eastAsia="ja-JP"/>
              </w:rPr>
              <w:t>5&gt;</w:t>
            </w:r>
            <w:r w:rsidRPr="00E47AF3">
              <w:rPr>
                <w:lang w:eastAsia="ja-JP"/>
              </w:rPr>
              <w:tab/>
              <w:t xml:space="preserve">for events involving a serving cell associated with a </w:t>
            </w:r>
            <w:proofErr w:type="spellStart"/>
            <w:r w:rsidRPr="00E47AF3">
              <w:rPr>
                <w:i/>
                <w:lang w:eastAsia="ja-JP"/>
              </w:rPr>
              <w:t>measObjectNR</w:t>
            </w:r>
            <w:proofErr w:type="spellEnd"/>
            <w:r w:rsidR="00F72293">
              <w:rPr>
                <w:lang w:eastAsia="ja-JP"/>
              </w:rPr>
              <w:t xml:space="preserve"> and neighbours </w:t>
            </w:r>
            <w:r w:rsidRPr="00E47AF3">
              <w:rPr>
                <w:lang w:eastAsia="ja-JP"/>
              </w:rPr>
              <w:t xml:space="preserve">associated with another </w:t>
            </w:r>
            <w:proofErr w:type="spellStart"/>
            <w:r w:rsidRPr="00E47AF3">
              <w:rPr>
                <w:i/>
                <w:lang w:eastAsia="ja-JP"/>
              </w:rPr>
              <w:t>measObjectNR</w:t>
            </w:r>
            <w:proofErr w:type="spellEnd"/>
            <w:r w:rsidRPr="00E47AF3">
              <w:rPr>
                <w:lang w:eastAsia="ja-JP"/>
              </w:rPr>
              <w:t xml:space="preserve">, consider any serving cell associated with the other </w:t>
            </w:r>
            <w:proofErr w:type="spellStart"/>
            <w:r w:rsidRPr="00E47AF3">
              <w:rPr>
                <w:i/>
                <w:lang w:eastAsia="ja-JP"/>
              </w:rPr>
              <w:t>measObjectNR</w:t>
            </w:r>
            <w:proofErr w:type="spellEnd"/>
            <w:r w:rsidRPr="00E47AF3">
              <w:rPr>
                <w:lang w:eastAsia="ja-JP"/>
              </w:rPr>
              <w:t xml:space="preserve"> to be a neighbouring cell as well;</w:t>
            </w:r>
          </w:p>
        </w:tc>
      </w:tr>
    </w:tbl>
    <w:p w14:paraId="0BBDFC0A" w14:textId="14E00EA7" w:rsidR="00CD4C7B" w:rsidRPr="006E13D1" w:rsidRDefault="00E47AF3" w:rsidP="0064188A">
      <w:pPr>
        <w:jc w:val="both"/>
      </w:pPr>
      <w:r>
        <w:br/>
      </w:r>
      <w:r w:rsidR="68D97D0E">
        <w:t xml:space="preserve">This paper is aimed at </w:t>
      </w:r>
      <w:r>
        <w:t>providing ultimate</w:t>
      </w:r>
      <w:r w:rsidR="0064188A">
        <w:t xml:space="preserve"> clarifications on that subject. </w:t>
      </w:r>
    </w:p>
    <w:p w14:paraId="127ACA6D" w14:textId="6A899AF0" w:rsidR="00CD4C7B" w:rsidRPr="006E13D1" w:rsidRDefault="00B16104" w:rsidP="00CD4C7B">
      <w:pPr>
        <w:pStyle w:val="Heading1"/>
      </w:pPr>
      <w:r>
        <w:t>2</w:t>
      </w:r>
      <w:r>
        <w:tab/>
        <w:t>Discussion</w:t>
      </w:r>
    </w:p>
    <w:p w14:paraId="5341639A" w14:textId="64961334" w:rsidR="00E278C6" w:rsidRDefault="00136019" w:rsidP="00E278C6">
      <w:pPr>
        <w:pStyle w:val="Heading2"/>
      </w:pPr>
      <w:r>
        <w:t>2</w:t>
      </w:r>
      <w:r w:rsidR="00F72293">
        <w:t>.1</w:t>
      </w:r>
      <w:r w:rsidR="00F72293">
        <w:tab/>
        <w:t xml:space="preserve">A3 and A6 – </w:t>
      </w:r>
      <w:r w:rsidR="00740ABD">
        <w:t>LTE behaviour</w:t>
      </w:r>
    </w:p>
    <w:p w14:paraId="2118283B" w14:textId="5DD96F27" w:rsidR="00BA69BF" w:rsidRDefault="007926BB" w:rsidP="0073222A">
      <w:pPr>
        <w:jc w:val="both"/>
      </w:pPr>
      <w:r>
        <w:t>In NR e</w:t>
      </w:r>
      <w:r w:rsidR="00F72293">
        <w:t xml:space="preserve">vent A3 is defined as follows </w:t>
      </w:r>
      <w:r w:rsidR="00F72293">
        <w:fldChar w:fldCharType="begin"/>
      </w:r>
      <w:r w:rsidR="00F72293">
        <w:instrText xml:space="preserve"> REF _Ref521333583 \r \h </w:instrText>
      </w:r>
      <w:r w:rsidR="00F72293">
        <w:fldChar w:fldCharType="separate"/>
      </w:r>
      <w:r w:rsidR="00F72293">
        <w:t>[3]</w:t>
      </w:r>
      <w:r w:rsidR="00F72293">
        <w:fldChar w:fldCharType="end"/>
      </w:r>
      <w:r w:rsidR="00F72293">
        <w:t>: “</w:t>
      </w:r>
      <w:r w:rsidR="00F72293" w:rsidRPr="00A70E2A">
        <w:rPr>
          <w:i/>
        </w:rPr>
        <w:t xml:space="preserve">Neighbour becomes offset better than </w:t>
      </w:r>
      <w:proofErr w:type="spellStart"/>
      <w:r w:rsidR="00F72293" w:rsidRPr="00A70E2A">
        <w:rPr>
          <w:i/>
        </w:rPr>
        <w:t>SpCell</w:t>
      </w:r>
      <w:proofErr w:type="spellEnd"/>
      <w:r w:rsidR="00F72293">
        <w:t>”, whereas A6: “</w:t>
      </w:r>
      <w:r w:rsidR="00F72293" w:rsidRPr="00A70E2A">
        <w:rPr>
          <w:i/>
        </w:rPr>
        <w:t xml:space="preserve">Neighbour becomes offset better than </w:t>
      </w:r>
      <w:proofErr w:type="spellStart"/>
      <w:r w:rsidR="00F72293" w:rsidRPr="00A70E2A">
        <w:rPr>
          <w:i/>
        </w:rPr>
        <w:t>SCell</w:t>
      </w:r>
      <w:proofErr w:type="spellEnd"/>
      <w:r w:rsidR="00F72293">
        <w:t xml:space="preserve">”. </w:t>
      </w:r>
      <w:r>
        <w:t>One of the companies involved in offline discussion #56 at TSG-RAN WG2 AH-1807, indicated that LTE behaviour states that “serving cells can trigger A3 and A6”. Another company shared different understanding, saying “</w:t>
      </w:r>
      <w:r w:rsidRPr="007926BB">
        <w:t>serving cell (</w:t>
      </w:r>
      <w:proofErr w:type="spellStart"/>
      <w:r w:rsidRPr="007926BB">
        <w:t>SCell</w:t>
      </w:r>
      <w:proofErr w:type="spellEnd"/>
      <w:r w:rsidRPr="007926BB">
        <w:t>) can also trigger A3 Event, while only non-serving neighbour cell only trigger A6</w:t>
      </w:r>
      <w:r>
        <w:t>”. Yet another view was presented by the discussion</w:t>
      </w:r>
      <w:r w:rsidR="005674B2">
        <w:t>’s</w:t>
      </w:r>
      <w:r>
        <w:t xml:space="preserve"> rapporteur who thought in none of these two</w:t>
      </w:r>
      <w:r w:rsidR="005674B2">
        <w:t xml:space="preserve"> events</w:t>
      </w:r>
      <w:r>
        <w:t xml:space="preserve"> a serving cell is involved (</w:t>
      </w:r>
      <w:r w:rsidR="005674B2">
        <w:t xml:space="preserve">involved </w:t>
      </w:r>
      <w:r>
        <w:t>as a “neighbour” in the A3/A6 definitions provided above).</w:t>
      </w:r>
      <w:r w:rsidR="005674B2">
        <w:t xml:space="preserve"> Taking all that into account, it is quite evident we are still far from a common understanding and clarity here.</w:t>
      </w:r>
    </w:p>
    <w:p w14:paraId="798A1650" w14:textId="3DAD22AF" w:rsidR="00BA69BF" w:rsidRPr="00667DFC" w:rsidRDefault="00BA69BF" w:rsidP="00BA69BF">
      <w:pPr>
        <w:pStyle w:val="ListParagraph"/>
        <w:numPr>
          <w:ilvl w:val="0"/>
          <w:numId w:val="10"/>
        </w:numPr>
        <w:jc w:val="both"/>
        <w:rPr>
          <w:b/>
        </w:rPr>
      </w:pPr>
      <w:bookmarkStart w:id="1" w:name="_Ref521338237"/>
      <w:r w:rsidRPr="00667DFC">
        <w:rPr>
          <w:b/>
        </w:rPr>
        <w:t>The clarification whether serving cell can be considered as a neighbour for events A4 and A5 has triggered another debate: how should it be interpreted regarding A3 and A6.</w:t>
      </w:r>
      <w:bookmarkEnd w:id="1"/>
    </w:p>
    <w:p w14:paraId="0300ADA8" w14:textId="2BD7346C" w:rsidR="003D0B8C" w:rsidRDefault="00BA69BF" w:rsidP="0073222A">
      <w:pPr>
        <w:jc w:val="both"/>
      </w:pPr>
      <w:r>
        <w:t xml:space="preserve">A valid observation was provided during the </w:t>
      </w:r>
      <w:proofErr w:type="gramStart"/>
      <w:r>
        <w:t>aforementioned offline</w:t>
      </w:r>
      <w:proofErr w:type="gramEnd"/>
      <w:r>
        <w:t xml:space="preserve"> discussion #56</w:t>
      </w:r>
      <w:r w:rsidR="00BB3B00">
        <w:t xml:space="preserve">, referring to </w:t>
      </w:r>
      <w:r w:rsidR="00BB3B00">
        <w:fldChar w:fldCharType="begin"/>
      </w:r>
      <w:r w:rsidR="00BB3B00">
        <w:instrText xml:space="preserve"> REF _Ref521335425 \r \h </w:instrText>
      </w:r>
      <w:r w:rsidR="00BB3B00">
        <w:fldChar w:fldCharType="separate"/>
      </w:r>
      <w:r w:rsidR="00BB3B00">
        <w:t>[4]</w:t>
      </w:r>
      <w:r w:rsidR="00BB3B00">
        <w:fldChar w:fldCharType="end"/>
      </w:r>
      <w:r w:rsidR="00BB3B00">
        <w:t>, where Annex J.3.4 was present. It was meant to describe measurement intricacies after the introduction of carrier aggregation (CA) in LTE.</w:t>
      </w:r>
      <w:r w:rsidR="003D0B8C">
        <w:t xml:space="preserve"> Figure J.3.4-1 in </w:t>
      </w:r>
      <w:r w:rsidR="003D0B8C">
        <w:fldChar w:fldCharType="begin"/>
      </w:r>
      <w:r w:rsidR="003D0B8C">
        <w:instrText xml:space="preserve"> REF _Ref521335425 \r \h </w:instrText>
      </w:r>
      <w:r w:rsidR="003D0B8C">
        <w:fldChar w:fldCharType="separate"/>
      </w:r>
      <w:r w:rsidR="003D0B8C">
        <w:t>[4]</w:t>
      </w:r>
      <w:r w:rsidR="003D0B8C">
        <w:fldChar w:fldCharType="end"/>
      </w:r>
      <w:r w:rsidR="003D0B8C">
        <w:t xml:space="preserve"> nicely explain</w:t>
      </w:r>
      <w:r w:rsidR="00740ABD">
        <w:t>s</w:t>
      </w:r>
      <w:r w:rsidR="003D0B8C">
        <w:t xml:space="preserve"> this relationship: </w:t>
      </w:r>
    </w:p>
    <w:p w14:paraId="4EA8BB3F" w14:textId="1523E645" w:rsidR="003D0B8C" w:rsidRDefault="00740ABD" w:rsidP="003D0B8C">
      <w:pPr>
        <w:pStyle w:val="ListParagraph"/>
        <w:numPr>
          <w:ilvl w:val="0"/>
          <w:numId w:val="11"/>
        </w:numPr>
        <w:jc w:val="both"/>
      </w:pPr>
      <w:r>
        <w:t>S</w:t>
      </w:r>
      <w:r w:rsidR="003D0B8C">
        <w:t>erving cell (</w:t>
      </w:r>
      <w:proofErr w:type="spellStart"/>
      <w:r w:rsidR="003D0B8C">
        <w:t>SCell</w:t>
      </w:r>
      <w:proofErr w:type="spellEnd"/>
      <w:r w:rsidR="003D0B8C">
        <w:t>) can be considered as a neighbour when event A3 is evaluated</w:t>
      </w:r>
    </w:p>
    <w:p w14:paraId="70497BB5" w14:textId="7AF1E93B" w:rsidR="00B924F1" w:rsidRDefault="00740ABD" w:rsidP="003D0B8C">
      <w:pPr>
        <w:pStyle w:val="ListParagraph"/>
        <w:numPr>
          <w:ilvl w:val="0"/>
          <w:numId w:val="11"/>
        </w:numPr>
        <w:jc w:val="both"/>
      </w:pPr>
      <w:r>
        <w:t xml:space="preserve">For A6, only intra-frequency neighbours of the </w:t>
      </w:r>
      <w:proofErr w:type="spellStart"/>
      <w:r>
        <w:t>SCell</w:t>
      </w:r>
      <w:proofErr w:type="spellEnd"/>
      <w:r>
        <w:t xml:space="preserve"> are considered</w:t>
      </w:r>
    </w:p>
    <w:p w14:paraId="2D8D75F8" w14:textId="77777777" w:rsidR="00740ABD" w:rsidRDefault="00740ABD" w:rsidP="00740ABD">
      <w:pPr>
        <w:pStyle w:val="ListParagraph"/>
        <w:jc w:val="both"/>
      </w:pPr>
    </w:p>
    <w:p w14:paraId="149D5FC8" w14:textId="513DE552" w:rsidR="00740ABD" w:rsidRDefault="00740ABD" w:rsidP="00740ABD">
      <w:pPr>
        <w:pStyle w:val="ListParagraph"/>
        <w:numPr>
          <w:ilvl w:val="0"/>
          <w:numId w:val="10"/>
        </w:numPr>
        <w:jc w:val="both"/>
        <w:rPr>
          <w:b/>
        </w:rPr>
      </w:pPr>
      <w:bookmarkStart w:id="2" w:name="_Ref521338249"/>
      <w:r w:rsidRPr="00100A53">
        <w:rPr>
          <w:b/>
        </w:rPr>
        <w:t xml:space="preserve">In LTE </w:t>
      </w:r>
      <w:proofErr w:type="spellStart"/>
      <w:r w:rsidRPr="00100A53">
        <w:rPr>
          <w:b/>
        </w:rPr>
        <w:t>SCell</w:t>
      </w:r>
      <w:proofErr w:type="spellEnd"/>
      <w:r w:rsidRPr="00100A53">
        <w:rPr>
          <w:b/>
        </w:rPr>
        <w:t xml:space="preserve"> </w:t>
      </w:r>
      <w:r w:rsidR="00100A53" w:rsidRPr="00100A53">
        <w:rPr>
          <w:b/>
        </w:rPr>
        <w:t>can be</w:t>
      </w:r>
      <w:r w:rsidRPr="00100A53">
        <w:rPr>
          <w:b/>
        </w:rPr>
        <w:t xml:space="preserve"> considered as a neighbour for event A3</w:t>
      </w:r>
      <w:r w:rsidR="00100A53" w:rsidRPr="00100A53">
        <w:rPr>
          <w:b/>
        </w:rPr>
        <w:t xml:space="preserve"> evaluation, while only intra-frequency </w:t>
      </w:r>
      <w:proofErr w:type="spellStart"/>
      <w:r w:rsidR="00100A53" w:rsidRPr="00100A53">
        <w:rPr>
          <w:b/>
        </w:rPr>
        <w:t>SCell’s</w:t>
      </w:r>
      <w:proofErr w:type="spellEnd"/>
      <w:r w:rsidR="00100A53" w:rsidRPr="00100A53">
        <w:rPr>
          <w:b/>
        </w:rPr>
        <w:t xml:space="preserve"> </w:t>
      </w:r>
      <w:r w:rsidRPr="00100A53">
        <w:rPr>
          <w:b/>
        </w:rPr>
        <w:t xml:space="preserve">neighbours are </w:t>
      </w:r>
      <w:proofErr w:type="gramStart"/>
      <w:r w:rsidR="00100A53" w:rsidRPr="00100A53">
        <w:rPr>
          <w:b/>
        </w:rPr>
        <w:t>taken into account</w:t>
      </w:r>
      <w:proofErr w:type="gramEnd"/>
      <w:r w:rsidR="00100A53" w:rsidRPr="00100A53">
        <w:rPr>
          <w:b/>
        </w:rPr>
        <w:t xml:space="preserve"> for A6.</w:t>
      </w:r>
      <w:bookmarkEnd w:id="2"/>
    </w:p>
    <w:p w14:paraId="4E935EBE" w14:textId="284637B8" w:rsidR="00100A53" w:rsidRPr="00100A53" w:rsidRDefault="007174ED" w:rsidP="00100A53">
      <w:pPr>
        <w:jc w:val="both"/>
      </w:pPr>
      <w:r>
        <w:t>The Annex J.3.4 has</w:t>
      </w:r>
      <w:r w:rsidR="00615979">
        <w:t xml:space="preserve"> been removed from TS 36.300,</w:t>
      </w:r>
      <w:r w:rsidR="001B2B28">
        <w:t xml:space="preserve"> starting from</w:t>
      </w:r>
      <w:r w:rsidR="00615979">
        <w:t xml:space="preserve"> v10.3.0.</w:t>
      </w:r>
    </w:p>
    <w:p w14:paraId="44676D73" w14:textId="57077E86" w:rsidR="00491B8C" w:rsidRPr="006E13D1" w:rsidRDefault="00491B8C" w:rsidP="00491B8C">
      <w:pPr>
        <w:pStyle w:val="Heading2"/>
      </w:pPr>
      <w:r>
        <w:lastRenderedPageBreak/>
        <w:t>2.2</w:t>
      </w:r>
      <w:r w:rsidRPr="006E13D1">
        <w:tab/>
      </w:r>
      <w:r w:rsidR="00740ABD">
        <w:t>Should NR deviate from LTE’s principles</w:t>
      </w:r>
      <w:r w:rsidR="00100A53">
        <w:t>?</w:t>
      </w:r>
    </w:p>
    <w:p w14:paraId="241EB532" w14:textId="77777777" w:rsidR="0026535E" w:rsidRDefault="00615979" w:rsidP="00EA25A8">
      <w:pPr>
        <w:jc w:val="both"/>
      </w:pPr>
      <w:r>
        <w:t xml:space="preserve">If RAN2 </w:t>
      </w:r>
      <w:proofErr w:type="gramStart"/>
      <w:r>
        <w:t>is able to</w:t>
      </w:r>
      <w:proofErr w:type="gramEnd"/>
      <w:r>
        <w:t xml:space="preserve"> unanimously agree the understanding outlined in 2.1, it shall be decided next whether there are any sufficiently good reasons to deviate from this behaviour in NR. </w:t>
      </w:r>
      <w:r w:rsidR="00A06B2F">
        <w:t xml:space="preserve">In our understanding, it would be fine to have the possibility to compare the </w:t>
      </w:r>
      <w:proofErr w:type="spellStart"/>
      <w:r w:rsidR="00A06B2F">
        <w:t>SCell</w:t>
      </w:r>
      <w:proofErr w:type="spellEnd"/>
      <w:r w:rsidR="00A06B2F">
        <w:t xml:space="preserve"> with the </w:t>
      </w:r>
      <w:proofErr w:type="spellStart"/>
      <w:r w:rsidR="00A06B2F">
        <w:t>PCell</w:t>
      </w:r>
      <w:proofErr w:type="spellEnd"/>
      <w:r w:rsidR="00A06B2F">
        <w:t>/</w:t>
      </w:r>
      <w:proofErr w:type="spellStart"/>
      <w:r w:rsidR="00A06B2F">
        <w:t>PSCell</w:t>
      </w:r>
      <w:proofErr w:type="spellEnd"/>
      <w:r w:rsidR="00A06B2F">
        <w:t xml:space="preserve"> as a part of A3 evaluation (as this event allows to have a direct “cell versus cell” comparison, not “cell versus threshold”)</w:t>
      </w:r>
      <w:r w:rsidR="00BF1F1C">
        <w:t>, provided this neighbour is in a separate Measurement Object</w:t>
      </w:r>
      <w:r w:rsidR="0026535E">
        <w:t xml:space="preserve"> (if it is in the same, then there is no possibility to have an </w:t>
      </w:r>
      <w:proofErr w:type="spellStart"/>
      <w:r w:rsidR="0026535E">
        <w:t>SCell</w:t>
      </w:r>
      <w:proofErr w:type="spellEnd"/>
      <w:r w:rsidR="0026535E">
        <w:t xml:space="preserve"> there..)</w:t>
      </w:r>
      <w:r w:rsidR="00A06B2F">
        <w:t>.</w:t>
      </w:r>
    </w:p>
    <w:p w14:paraId="1B062D8F" w14:textId="4FE28579" w:rsidR="00BF1F1C" w:rsidRDefault="0026535E" w:rsidP="00EA25A8">
      <w:pPr>
        <w:jc w:val="both"/>
      </w:pPr>
      <w:r>
        <w:t xml:space="preserve">When event A3 is being discussed, it is worth pointing out another interesting aspect: according to the current definition of </w:t>
      </w:r>
      <w:r w:rsidR="00DE3788">
        <w:t>A3</w:t>
      </w:r>
      <w:r>
        <w:t xml:space="preserve">, </w:t>
      </w:r>
      <w:proofErr w:type="spellStart"/>
      <w:r>
        <w:t>PCell</w:t>
      </w:r>
      <w:proofErr w:type="spellEnd"/>
      <w:r>
        <w:t xml:space="preserve"> cannot be compared with the </w:t>
      </w:r>
      <w:proofErr w:type="spellStart"/>
      <w:r>
        <w:t>PSCell</w:t>
      </w:r>
      <w:proofErr w:type="spellEnd"/>
      <w:r>
        <w:t xml:space="preserve">. However, one can easily imagine a scenario, where a role swap is </w:t>
      </w:r>
      <w:r w:rsidR="00211ED3">
        <w:t>to be executed</w:t>
      </w:r>
      <w:r>
        <w:t xml:space="preserve"> (i.e. </w:t>
      </w:r>
      <w:proofErr w:type="spellStart"/>
      <w:r>
        <w:t>PCell</w:t>
      </w:r>
      <w:proofErr w:type="spellEnd"/>
      <w:r>
        <w:t xml:space="preserve"> becomes a new </w:t>
      </w:r>
      <w:proofErr w:type="spellStart"/>
      <w:r>
        <w:t>PSCell</w:t>
      </w:r>
      <w:proofErr w:type="spellEnd"/>
      <w:r>
        <w:t xml:space="preserve">, whereas </w:t>
      </w:r>
      <w:proofErr w:type="spellStart"/>
      <w:r>
        <w:t>PSCell</w:t>
      </w:r>
      <w:proofErr w:type="spellEnd"/>
      <w:r>
        <w:t xml:space="preserve"> becomes a new </w:t>
      </w:r>
      <w:proofErr w:type="spellStart"/>
      <w:r>
        <w:t>PCell</w:t>
      </w:r>
      <w:proofErr w:type="spellEnd"/>
      <w:r>
        <w:t xml:space="preserve">). Then, in such </w:t>
      </w:r>
      <w:r w:rsidR="005439C8">
        <w:t>“</w:t>
      </w:r>
      <w:r>
        <w:t>cell versus cell comparison</w:t>
      </w:r>
      <w:r w:rsidR="005439C8">
        <w:t>”</w:t>
      </w:r>
      <w:r>
        <w:t xml:space="preserve">, event A3 </w:t>
      </w:r>
      <w:r w:rsidR="005439C8">
        <w:t>would be a perfect candidate to do the job. Nevertheless, according to the current principles, such comparison is not possible.</w:t>
      </w:r>
    </w:p>
    <w:p w14:paraId="684D62A5" w14:textId="3BB8A748" w:rsidR="005439C8" w:rsidRPr="0011373B" w:rsidRDefault="0011373B" w:rsidP="0011373B">
      <w:pPr>
        <w:pStyle w:val="ListParagraph"/>
        <w:numPr>
          <w:ilvl w:val="0"/>
          <w:numId w:val="10"/>
        </w:numPr>
        <w:jc w:val="both"/>
        <w:rPr>
          <w:b/>
        </w:rPr>
      </w:pPr>
      <w:bookmarkStart w:id="3" w:name="_Ref521584185"/>
      <w:r w:rsidRPr="0011373B">
        <w:rPr>
          <w:b/>
        </w:rPr>
        <w:t xml:space="preserve">RAN2 may also consider if </w:t>
      </w:r>
      <w:r>
        <w:rPr>
          <w:b/>
        </w:rPr>
        <w:t>“</w:t>
      </w:r>
      <w:proofErr w:type="spellStart"/>
      <w:r w:rsidRPr="0011373B">
        <w:rPr>
          <w:b/>
        </w:rPr>
        <w:t>PCell</w:t>
      </w:r>
      <w:proofErr w:type="spellEnd"/>
      <w:r w:rsidRPr="0011373B">
        <w:rPr>
          <w:b/>
        </w:rPr>
        <w:t xml:space="preserve"> versus </w:t>
      </w:r>
      <w:proofErr w:type="spellStart"/>
      <w:r w:rsidRPr="0011373B">
        <w:rPr>
          <w:b/>
        </w:rPr>
        <w:t>PSCell</w:t>
      </w:r>
      <w:proofErr w:type="spellEnd"/>
      <w:r>
        <w:rPr>
          <w:b/>
        </w:rPr>
        <w:t>”</w:t>
      </w:r>
      <w:r w:rsidRPr="0011373B">
        <w:rPr>
          <w:b/>
        </w:rPr>
        <w:t xml:space="preserve"> comparison could be supported, in NR’s event A3 or as a part of another similar event.</w:t>
      </w:r>
      <w:bookmarkEnd w:id="3"/>
    </w:p>
    <w:p w14:paraId="6D495348" w14:textId="65541FA3" w:rsidR="00BF1F1C" w:rsidRDefault="00E0086E" w:rsidP="00EA25A8">
      <w:pPr>
        <w:jc w:val="both"/>
      </w:pPr>
      <w:r>
        <w:t xml:space="preserve">Regarding A6 – it also does not appear to be justified to abandon the principle adopted in LTE and allow to compare one </w:t>
      </w:r>
      <w:proofErr w:type="spellStart"/>
      <w:r>
        <w:t>SCell</w:t>
      </w:r>
      <w:proofErr w:type="spellEnd"/>
      <w:r>
        <w:t xml:space="preserve"> against another </w:t>
      </w:r>
      <w:proofErr w:type="spellStart"/>
      <w:r>
        <w:t>SCell</w:t>
      </w:r>
      <w:proofErr w:type="spellEnd"/>
      <w:r w:rsidR="00BF1F1C">
        <w:t xml:space="preserve">. This would not be possible anyway with the known principles of CA or DC, and while maintaining the intra-frequency restriction, as given in the following excerpt concerning A6 </w:t>
      </w:r>
      <w:r w:rsidR="00BF1F1C">
        <w:fldChar w:fldCharType="begin"/>
      </w:r>
      <w:r w:rsidR="00BF1F1C">
        <w:instrText xml:space="preserve"> REF _Ref521333583 \r \h </w:instrText>
      </w:r>
      <w:r w:rsidR="00BF1F1C">
        <w:fldChar w:fldCharType="separate"/>
      </w:r>
      <w:r w:rsidR="00BF1F1C">
        <w:t>[3]</w:t>
      </w:r>
      <w:r w:rsidR="00BF1F1C">
        <w:fldChar w:fldCharType="end"/>
      </w:r>
      <w:r w:rsidR="00BF1F1C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F1F1C" w14:paraId="38422AB2" w14:textId="77777777" w:rsidTr="00BF1F1C">
        <w:tc>
          <w:tcPr>
            <w:tcW w:w="9631" w:type="dxa"/>
          </w:tcPr>
          <w:p w14:paraId="0B7D4378" w14:textId="77777777" w:rsidR="00BF1F1C" w:rsidRDefault="00BF1F1C" w:rsidP="00BF1F1C">
            <w:pPr>
              <w:pStyle w:val="B1"/>
            </w:pPr>
            <w:r>
              <w:t>1&gt;</w:t>
            </w:r>
            <w:r>
              <w:tab/>
              <w:t xml:space="preserve">for this measurement, consider the (secondary) cell corresponding to the </w:t>
            </w:r>
            <w:proofErr w:type="spellStart"/>
            <w:r>
              <w:rPr>
                <w:i/>
              </w:rPr>
              <w:t>measObjectNR</w:t>
            </w:r>
            <w:r>
              <w:t>associated</w:t>
            </w:r>
            <w:proofErr w:type="spellEnd"/>
            <w:r>
              <w:t xml:space="preserve"> to this event to be the serving cell.</w:t>
            </w:r>
          </w:p>
          <w:p w14:paraId="0147BD9F" w14:textId="474B3863" w:rsidR="00BF1F1C" w:rsidRDefault="00BF1F1C" w:rsidP="00BF1F1C">
            <w:pPr>
              <w:pStyle w:val="NO"/>
            </w:pPr>
            <w:r>
              <w:rPr>
                <w:lang w:eastAsia="ko-KR"/>
              </w:rPr>
              <w:t>NOTE:</w:t>
            </w:r>
            <w:r>
              <w:rPr>
                <w:lang w:eastAsia="ko-KR"/>
              </w:rPr>
              <w:tab/>
              <w:t xml:space="preserve">The reference signal(s) of the neighbour(s) and the reference signal(s) of the </w:t>
            </w:r>
            <w:proofErr w:type="spellStart"/>
            <w:r>
              <w:rPr>
                <w:lang w:eastAsia="ko-KR"/>
              </w:rPr>
              <w:t>SCell</w:t>
            </w:r>
            <w:proofErr w:type="spellEnd"/>
            <w:r>
              <w:rPr>
                <w:lang w:eastAsia="ko-KR"/>
              </w:rPr>
              <w:t xml:space="preserve"> are both indicated in the associated </w:t>
            </w:r>
            <w:proofErr w:type="spellStart"/>
            <w:r>
              <w:rPr>
                <w:i/>
                <w:lang w:eastAsia="ko-KR"/>
              </w:rPr>
              <w:t>measObjectNR</w:t>
            </w:r>
            <w:proofErr w:type="spellEnd"/>
            <w:r>
              <w:rPr>
                <w:lang w:eastAsia="ko-KR"/>
              </w:rPr>
              <w:t>.</w:t>
            </w:r>
          </w:p>
        </w:tc>
      </w:tr>
    </w:tbl>
    <w:p w14:paraId="0012332D" w14:textId="12A1E1ED" w:rsidR="00BF1F1C" w:rsidRDefault="0003153F" w:rsidP="00EA25A8">
      <w:pPr>
        <w:jc w:val="both"/>
      </w:pPr>
      <w:r>
        <w:br/>
      </w:r>
      <w:r w:rsidR="00BF1F1C">
        <w:t xml:space="preserve">In addition, if both the “neighbour” and the </w:t>
      </w:r>
      <w:proofErr w:type="spellStart"/>
      <w:r w:rsidR="00BF1F1C">
        <w:t>SCell</w:t>
      </w:r>
      <w:proofErr w:type="spellEnd"/>
      <w:r w:rsidR="00BF1F1C">
        <w:t xml:space="preserve"> would </w:t>
      </w:r>
      <w:r w:rsidR="00E0086E">
        <w:t xml:space="preserve">be serving cells probably there is no need to configure a measurement event, such as </w:t>
      </w:r>
      <w:r w:rsidR="00BF1F1C">
        <w:t xml:space="preserve">RRC-level </w:t>
      </w:r>
      <w:r w:rsidR="00E0086E">
        <w:t xml:space="preserve">A6, to obtain the knowledge concerning their signal quality/level. </w:t>
      </w:r>
    </w:p>
    <w:p w14:paraId="7A9D9D36" w14:textId="5C0D2A07" w:rsidR="004F7C81" w:rsidRDefault="00E0086E" w:rsidP="00EA25A8">
      <w:pPr>
        <w:jc w:val="both"/>
      </w:pPr>
      <w:r>
        <w:t>As a result, we propose the following:</w:t>
      </w:r>
    </w:p>
    <w:p w14:paraId="76777B2A" w14:textId="7DB17F44" w:rsidR="00857614" w:rsidRPr="00A50281" w:rsidRDefault="00E0086E" w:rsidP="00E0086E">
      <w:pPr>
        <w:pStyle w:val="ListParagraph"/>
        <w:numPr>
          <w:ilvl w:val="0"/>
          <w:numId w:val="13"/>
        </w:numPr>
        <w:jc w:val="both"/>
        <w:rPr>
          <w:b/>
        </w:rPr>
      </w:pPr>
      <w:bookmarkStart w:id="4" w:name="_Ref521338264"/>
      <w:r w:rsidRPr="00A50281">
        <w:rPr>
          <w:b/>
        </w:rPr>
        <w:t xml:space="preserve">The </w:t>
      </w:r>
      <w:r w:rsidR="00A50281" w:rsidRPr="00A50281">
        <w:rPr>
          <w:b/>
        </w:rPr>
        <w:t xml:space="preserve">NR’s </w:t>
      </w:r>
      <w:r w:rsidRPr="00A50281">
        <w:rPr>
          <w:b/>
        </w:rPr>
        <w:t>behaviour concerning events A3 and A6</w:t>
      </w:r>
      <w:r w:rsidR="00A50281" w:rsidRPr="00A50281">
        <w:rPr>
          <w:b/>
        </w:rPr>
        <w:t xml:space="preserve"> (whether </w:t>
      </w:r>
      <w:proofErr w:type="spellStart"/>
      <w:r w:rsidR="00A50281" w:rsidRPr="00A50281">
        <w:rPr>
          <w:b/>
        </w:rPr>
        <w:t>SCell</w:t>
      </w:r>
      <w:proofErr w:type="spellEnd"/>
      <w:r w:rsidR="00A50281" w:rsidRPr="00A50281">
        <w:rPr>
          <w:b/>
        </w:rPr>
        <w:t xml:space="preserve"> can be a neighbour) should follow the LTE principles.</w:t>
      </w:r>
      <w:bookmarkEnd w:id="4"/>
    </w:p>
    <w:p w14:paraId="51D35D09" w14:textId="6C9E550F" w:rsidR="00857614" w:rsidRDefault="00857614" w:rsidP="00EA25A8">
      <w:pPr>
        <w:jc w:val="both"/>
      </w:pPr>
      <w:r>
        <w:t xml:space="preserve">However, this would require some changes and minor clarifications in the NR RRC specification </w:t>
      </w:r>
      <w:r>
        <w:fldChar w:fldCharType="begin"/>
      </w:r>
      <w:r>
        <w:instrText xml:space="preserve"> REF _Ref521333583 \r \h </w:instrText>
      </w:r>
      <w:r>
        <w:fldChar w:fldCharType="separate"/>
      </w:r>
      <w:r>
        <w:t>[3]</w:t>
      </w:r>
      <w:r>
        <w:fldChar w:fldCharType="end"/>
      </w:r>
      <w:r>
        <w:t xml:space="preserve">. Thus, we have prepared a corresponding </w:t>
      </w:r>
      <w:r w:rsidR="00EC3EEB">
        <w:t xml:space="preserve">draft </w:t>
      </w:r>
      <w:r>
        <w:t xml:space="preserve">change request in </w:t>
      </w:r>
      <w:r>
        <w:fldChar w:fldCharType="begin"/>
      </w:r>
      <w:r>
        <w:instrText xml:space="preserve"> REF _Ref521337257 \r \h </w:instrText>
      </w:r>
      <w:r>
        <w:fldChar w:fldCharType="separate"/>
      </w:r>
      <w:r>
        <w:t>[5]</w:t>
      </w:r>
      <w:r>
        <w:fldChar w:fldCharType="end"/>
      </w:r>
      <w:r>
        <w:t xml:space="preserve">. </w:t>
      </w:r>
    </w:p>
    <w:p w14:paraId="3F495C47" w14:textId="30F85A1E" w:rsidR="00857614" w:rsidRPr="00A50281" w:rsidRDefault="00A50281" w:rsidP="00A50281">
      <w:pPr>
        <w:pStyle w:val="ListParagraph"/>
        <w:numPr>
          <w:ilvl w:val="0"/>
          <w:numId w:val="13"/>
        </w:numPr>
        <w:jc w:val="both"/>
        <w:rPr>
          <w:b/>
          <w:bCs/>
        </w:rPr>
      </w:pPr>
      <w:bookmarkStart w:id="5" w:name="_Ref521338275"/>
      <w:r>
        <w:rPr>
          <w:b/>
          <w:bCs/>
        </w:rPr>
        <w:t xml:space="preserve">RAN2 is kindly asked to adopt the change request submitted in 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REF _Ref521337257 \r \h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</w:rPr>
        <w:t>[5]</w:t>
      </w:r>
      <w:r>
        <w:rPr>
          <w:b/>
          <w:bCs/>
        </w:rPr>
        <w:fldChar w:fldCharType="end"/>
      </w:r>
      <w:r>
        <w:rPr>
          <w:b/>
          <w:bCs/>
        </w:rPr>
        <w:t>.</w:t>
      </w:r>
      <w:bookmarkEnd w:id="5"/>
    </w:p>
    <w:p w14:paraId="43A12B72" w14:textId="45921AD0" w:rsidR="00CD4C7B" w:rsidRPr="006E13D1" w:rsidRDefault="007C49EC" w:rsidP="00CD4C7B">
      <w:pPr>
        <w:pStyle w:val="Heading1"/>
      </w:pPr>
      <w:r>
        <w:t>3</w:t>
      </w:r>
      <w:r w:rsidR="002C77EF">
        <w:tab/>
        <w:t>Conclusion</w:t>
      </w:r>
    </w:p>
    <w:p w14:paraId="1751743A" w14:textId="7405DD6F" w:rsidR="00EA25A8" w:rsidRDefault="68D97D0E" w:rsidP="00EA25A8">
      <w:r>
        <w:t xml:space="preserve">This </w:t>
      </w:r>
      <w:proofErr w:type="spellStart"/>
      <w:r>
        <w:t>TDoc</w:t>
      </w:r>
      <w:proofErr w:type="spellEnd"/>
      <w:r w:rsidR="00A06B2F">
        <w:t xml:space="preserve"> </w:t>
      </w:r>
      <w:r w:rsidR="00FA4307">
        <w:t>analysed</w:t>
      </w:r>
      <w:r w:rsidR="00EA25A8">
        <w:t xml:space="preserve"> </w:t>
      </w:r>
      <w:r w:rsidR="00FA4307">
        <w:t xml:space="preserve">measurement events A3 and A6 in the context of including </w:t>
      </w:r>
      <w:proofErr w:type="spellStart"/>
      <w:r w:rsidR="00FA4307">
        <w:t>SCell</w:t>
      </w:r>
      <w:proofErr w:type="spellEnd"/>
      <w:r w:rsidR="00FA4307">
        <w:t xml:space="preserve"> as a potential triggering cell.</w:t>
      </w:r>
      <w:r>
        <w:t xml:space="preserve"> The following observations and proposals have been made in the paper: </w:t>
      </w:r>
    </w:p>
    <w:p w14:paraId="200CEB61" w14:textId="5F8B6669" w:rsidR="00FA4307" w:rsidRPr="00FA4307" w:rsidRDefault="00FA4307" w:rsidP="00EA25A8">
      <w:pPr>
        <w:rPr>
          <w:b/>
        </w:rPr>
      </w:pPr>
      <w:r w:rsidRPr="00FA4307">
        <w:rPr>
          <w:b/>
        </w:rPr>
        <w:fldChar w:fldCharType="begin"/>
      </w:r>
      <w:r w:rsidRPr="00FA4307">
        <w:rPr>
          <w:b/>
        </w:rPr>
        <w:instrText xml:space="preserve"> REF _Ref521338237 \r \h </w:instrText>
      </w:r>
      <w:r>
        <w:rPr>
          <w:b/>
        </w:rPr>
        <w:instrText xml:space="preserve"> \* MERGEFORMAT </w:instrText>
      </w:r>
      <w:r w:rsidRPr="00FA4307">
        <w:rPr>
          <w:b/>
        </w:rPr>
      </w:r>
      <w:r w:rsidRPr="00FA4307">
        <w:rPr>
          <w:b/>
        </w:rPr>
        <w:fldChar w:fldCharType="separate"/>
      </w:r>
      <w:r w:rsidRPr="00FA4307">
        <w:rPr>
          <w:b/>
        </w:rPr>
        <w:t>Observation 1:</w:t>
      </w:r>
      <w:r w:rsidRPr="00FA4307">
        <w:rPr>
          <w:b/>
        </w:rPr>
        <w:fldChar w:fldCharType="end"/>
      </w:r>
      <w:r w:rsidRPr="00FA4307">
        <w:rPr>
          <w:b/>
        </w:rPr>
        <w:t xml:space="preserve"> </w:t>
      </w:r>
      <w:r w:rsidRPr="00FA4307">
        <w:rPr>
          <w:b/>
        </w:rPr>
        <w:fldChar w:fldCharType="begin"/>
      </w:r>
      <w:r w:rsidRPr="00FA4307">
        <w:rPr>
          <w:b/>
        </w:rPr>
        <w:instrText xml:space="preserve"> REF _Ref521338237 \h </w:instrText>
      </w:r>
      <w:r>
        <w:rPr>
          <w:b/>
        </w:rPr>
        <w:instrText xml:space="preserve"> \* MERGEFORMAT </w:instrText>
      </w:r>
      <w:r w:rsidRPr="00FA4307">
        <w:rPr>
          <w:b/>
        </w:rPr>
      </w:r>
      <w:r w:rsidRPr="00FA4307">
        <w:rPr>
          <w:b/>
        </w:rPr>
        <w:fldChar w:fldCharType="separate"/>
      </w:r>
      <w:r w:rsidRPr="00FA4307">
        <w:rPr>
          <w:b/>
        </w:rPr>
        <w:t>The clarification whether serving cell can be considered as a neighbour for events A4 and A5 has triggered another debate: how should it be interpreted regarding A3 and A6.</w:t>
      </w:r>
      <w:r w:rsidRPr="00FA4307">
        <w:rPr>
          <w:b/>
        </w:rPr>
        <w:fldChar w:fldCharType="end"/>
      </w:r>
    </w:p>
    <w:p w14:paraId="6BF9D8F2" w14:textId="12610BA8" w:rsidR="00FA4307" w:rsidRDefault="00FA4307" w:rsidP="00EA25A8">
      <w:pPr>
        <w:rPr>
          <w:b/>
        </w:rPr>
      </w:pPr>
      <w:r w:rsidRPr="00FA4307">
        <w:rPr>
          <w:b/>
        </w:rPr>
        <w:fldChar w:fldCharType="begin"/>
      </w:r>
      <w:r w:rsidRPr="00FA4307">
        <w:rPr>
          <w:b/>
        </w:rPr>
        <w:instrText xml:space="preserve"> REF _Ref521338249 \r \h </w:instrText>
      </w:r>
      <w:r>
        <w:rPr>
          <w:b/>
        </w:rPr>
        <w:instrText xml:space="preserve"> \* MERGEFORMAT </w:instrText>
      </w:r>
      <w:r w:rsidRPr="00FA4307">
        <w:rPr>
          <w:b/>
        </w:rPr>
      </w:r>
      <w:r w:rsidRPr="00FA4307">
        <w:rPr>
          <w:b/>
        </w:rPr>
        <w:fldChar w:fldCharType="separate"/>
      </w:r>
      <w:r w:rsidRPr="00FA4307">
        <w:rPr>
          <w:b/>
        </w:rPr>
        <w:t>Observation 2:</w:t>
      </w:r>
      <w:r w:rsidRPr="00FA4307">
        <w:rPr>
          <w:b/>
        </w:rPr>
        <w:fldChar w:fldCharType="end"/>
      </w:r>
      <w:r w:rsidRPr="00FA4307">
        <w:rPr>
          <w:b/>
        </w:rPr>
        <w:t xml:space="preserve"> </w:t>
      </w:r>
      <w:r w:rsidRPr="00FA4307">
        <w:rPr>
          <w:b/>
        </w:rPr>
        <w:fldChar w:fldCharType="begin"/>
      </w:r>
      <w:r w:rsidRPr="00FA4307">
        <w:rPr>
          <w:b/>
        </w:rPr>
        <w:instrText xml:space="preserve"> REF _Ref521338249 \h </w:instrText>
      </w:r>
      <w:r>
        <w:rPr>
          <w:b/>
        </w:rPr>
        <w:instrText xml:space="preserve"> \* MERGEFORMAT </w:instrText>
      </w:r>
      <w:r w:rsidRPr="00FA4307">
        <w:rPr>
          <w:b/>
        </w:rPr>
      </w:r>
      <w:r w:rsidRPr="00FA4307">
        <w:rPr>
          <w:b/>
        </w:rPr>
        <w:fldChar w:fldCharType="separate"/>
      </w:r>
      <w:r w:rsidRPr="00FA4307">
        <w:rPr>
          <w:b/>
        </w:rPr>
        <w:t xml:space="preserve">In LTE </w:t>
      </w:r>
      <w:proofErr w:type="spellStart"/>
      <w:r w:rsidRPr="00FA4307">
        <w:rPr>
          <w:b/>
        </w:rPr>
        <w:t>SCell</w:t>
      </w:r>
      <w:proofErr w:type="spellEnd"/>
      <w:r w:rsidRPr="00FA4307">
        <w:rPr>
          <w:b/>
        </w:rPr>
        <w:t xml:space="preserve"> can be considered as a neighbour for event A3 evaluation, while only intra-frequency </w:t>
      </w:r>
      <w:proofErr w:type="spellStart"/>
      <w:r w:rsidRPr="00FA4307">
        <w:rPr>
          <w:b/>
        </w:rPr>
        <w:t>SCell’s</w:t>
      </w:r>
      <w:proofErr w:type="spellEnd"/>
      <w:r w:rsidRPr="00FA4307">
        <w:rPr>
          <w:b/>
        </w:rPr>
        <w:t xml:space="preserve"> neighbours are </w:t>
      </w:r>
      <w:proofErr w:type="gramStart"/>
      <w:r w:rsidRPr="00FA4307">
        <w:rPr>
          <w:b/>
        </w:rPr>
        <w:t>taken into account</w:t>
      </w:r>
      <w:proofErr w:type="gramEnd"/>
      <w:r w:rsidRPr="00FA4307">
        <w:rPr>
          <w:b/>
        </w:rPr>
        <w:t xml:space="preserve"> for A6.</w:t>
      </w:r>
      <w:r w:rsidRPr="00FA4307">
        <w:rPr>
          <w:b/>
        </w:rPr>
        <w:fldChar w:fldCharType="end"/>
      </w:r>
    </w:p>
    <w:p w14:paraId="3008F2EA" w14:textId="5A4E6D80" w:rsidR="007B26AE" w:rsidRPr="00FA4307" w:rsidRDefault="007B26AE" w:rsidP="00EA25A8">
      <w:pPr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REF _Ref521584185 \r \h </w:instrText>
      </w:r>
      <w:r>
        <w:rPr>
          <w:b/>
        </w:rPr>
      </w:r>
      <w:r>
        <w:rPr>
          <w:b/>
        </w:rPr>
        <w:fldChar w:fldCharType="separate"/>
      </w:r>
      <w:r>
        <w:rPr>
          <w:b/>
        </w:rPr>
        <w:t>Observation 3:</w:t>
      </w:r>
      <w:r>
        <w:rPr>
          <w:b/>
        </w:rPr>
        <w:fldChar w:fldCharType="end"/>
      </w:r>
      <w:r>
        <w:rPr>
          <w:b/>
        </w:rPr>
        <w:t xml:space="preserve"> </w:t>
      </w:r>
      <w:r>
        <w:rPr>
          <w:b/>
        </w:rPr>
        <w:fldChar w:fldCharType="begin"/>
      </w:r>
      <w:r>
        <w:rPr>
          <w:b/>
        </w:rPr>
        <w:instrText xml:space="preserve"> REF _Ref521584185 \h </w:instrText>
      </w:r>
      <w:r>
        <w:rPr>
          <w:b/>
        </w:rPr>
      </w:r>
      <w:r>
        <w:rPr>
          <w:b/>
        </w:rPr>
        <w:fldChar w:fldCharType="separate"/>
      </w:r>
      <w:r w:rsidRPr="0011373B">
        <w:rPr>
          <w:b/>
        </w:rPr>
        <w:t xml:space="preserve">RAN2 may also consider if </w:t>
      </w:r>
      <w:r>
        <w:rPr>
          <w:b/>
        </w:rPr>
        <w:t>“</w:t>
      </w:r>
      <w:proofErr w:type="spellStart"/>
      <w:r w:rsidRPr="0011373B">
        <w:rPr>
          <w:b/>
        </w:rPr>
        <w:t>PCell</w:t>
      </w:r>
      <w:proofErr w:type="spellEnd"/>
      <w:r w:rsidRPr="0011373B">
        <w:rPr>
          <w:b/>
        </w:rPr>
        <w:t xml:space="preserve"> versus </w:t>
      </w:r>
      <w:proofErr w:type="spellStart"/>
      <w:r w:rsidRPr="0011373B">
        <w:rPr>
          <w:b/>
        </w:rPr>
        <w:t>PSCell</w:t>
      </w:r>
      <w:proofErr w:type="spellEnd"/>
      <w:r>
        <w:rPr>
          <w:b/>
        </w:rPr>
        <w:t>”</w:t>
      </w:r>
      <w:r w:rsidRPr="0011373B">
        <w:rPr>
          <w:b/>
        </w:rPr>
        <w:t xml:space="preserve"> comparison could be supported, in NR’s event A3 or as a part of another similar event.</w:t>
      </w:r>
      <w:r>
        <w:rPr>
          <w:b/>
        </w:rPr>
        <w:fldChar w:fldCharType="end"/>
      </w:r>
    </w:p>
    <w:p w14:paraId="418199DA" w14:textId="1970888E" w:rsidR="00FA4307" w:rsidRPr="00FA4307" w:rsidRDefault="00FA4307" w:rsidP="00EA25A8">
      <w:pPr>
        <w:rPr>
          <w:b/>
        </w:rPr>
      </w:pPr>
      <w:r w:rsidRPr="00FA4307">
        <w:rPr>
          <w:b/>
        </w:rPr>
        <w:fldChar w:fldCharType="begin"/>
      </w:r>
      <w:r w:rsidRPr="00FA4307">
        <w:rPr>
          <w:b/>
        </w:rPr>
        <w:instrText xml:space="preserve"> REF _Ref521338264 \r \h </w:instrText>
      </w:r>
      <w:r>
        <w:rPr>
          <w:b/>
        </w:rPr>
        <w:instrText xml:space="preserve"> \* MERGEFORMAT </w:instrText>
      </w:r>
      <w:r w:rsidRPr="00FA4307">
        <w:rPr>
          <w:b/>
        </w:rPr>
      </w:r>
      <w:r w:rsidRPr="00FA4307">
        <w:rPr>
          <w:b/>
        </w:rPr>
        <w:fldChar w:fldCharType="separate"/>
      </w:r>
      <w:r w:rsidRPr="00FA4307">
        <w:rPr>
          <w:b/>
        </w:rPr>
        <w:t>Proposal 1:</w:t>
      </w:r>
      <w:r w:rsidRPr="00FA4307">
        <w:rPr>
          <w:b/>
        </w:rPr>
        <w:fldChar w:fldCharType="end"/>
      </w:r>
      <w:r w:rsidRPr="00FA4307">
        <w:rPr>
          <w:b/>
        </w:rPr>
        <w:t xml:space="preserve"> </w:t>
      </w:r>
      <w:r w:rsidRPr="00FA4307">
        <w:rPr>
          <w:b/>
        </w:rPr>
        <w:fldChar w:fldCharType="begin"/>
      </w:r>
      <w:r w:rsidRPr="00FA4307">
        <w:rPr>
          <w:b/>
        </w:rPr>
        <w:instrText xml:space="preserve"> REF _Ref521338264 \h </w:instrText>
      </w:r>
      <w:r>
        <w:rPr>
          <w:b/>
        </w:rPr>
        <w:instrText xml:space="preserve"> \* MERGEFORMAT </w:instrText>
      </w:r>
      <w:r w:rsidRPr="00FA4307">
        <w:rPr>
          <w:b/>
        </w:rPr>
      </w:r>
      <w:r w:rsidRPr="00FA4307">
        <w:rPr>
          <w:b/>
        </w:rPr>
        <w:fldChar w:fldCharType="separate"/>
      </w:r>
      <w:r w:rsidRPr="00FA4307">
        <w:rPr>
          <w:b/>
        </w:rPr>
        <w:t xml:space="preserve">The NR’s behaviour concerning events A3 and A6 (whether </w:t>
      </w:r>
      <w:proofErr w:type="spellStart"/>
      <w:r w:rsidRPr="00FA4307">
        <w:rPr>
          <w:b/>
        </w:rPr>
        <w:t>SCell</w:t>
      </w:r>
      <w:proofErr w:type="spellEnd"/>
      <w:r w:rsidRPr="00FA4307">
        <w:rPr>
          <w:b/>
        </w:rPr>
        <w:t xml:space="preserve"> can be a neighbour) should follow the LTE principles.</w:t>
      </w:r>
      <w:r w:rsidRPr="00FA4307">
        <w:rPr>
          <w:b/>
        </w:rPr>
        <w:fldChar w:fldCharType="end"/>
      </w:r>
    </w:p>
    <w:p w14:paraId="40ECF561" w14:textId="0A2C6ECE" w:rsidR="00FA4307" w:rsidRPr="00FA4307" w:rsidRDefault="00FA4307" w:rsidP="00EA25A8">
      <w:pPr>
        <w:rPr>
          <w:b/>
        </w:rPr>
      </w:pPr>
      <w:r w:rsidRPr="00FA4307">
        <w:rPr>
          <w:b/>
        </w:rPr>
        <w:fldChar w:fldCharType="begin"/>
      </w:r>
      <w:r w:rsidRPr="00FA4307">
        <w:rPr>
          <w:b/>
        </w:rPr>
        <w:instrText xml:space="preserve"> REF _Ref521338275 \r \h </w:instrText>
      </w:r>
      <w:r>
        <w:rPr>
          <w:b/>
        </w:rPr>
        <w:instrText xml:space="preserve"> \* MERGEFORMAT </w:instrText>
      </w:r>
      <w:r w:rsidRPr="00FA4307">
        <w:rPr>
          <w:b/>
        </w:rPr>
      </w:r>
      <w:r w:rsidRPr="00FA4307">
        <w:rPr>
          <w:b/>
        </w:rPr>
        <w:fldChar w:fldCharType="separate"/>
      </w:r>
      <w:r w:rsidRPr="00FA4307">
        <w:rPr>
          <w:b/>
        </w:rPr>
        <w:t>Proposal 2:</w:t>
      </w:r>
      <w:r w:rsidRPr="00FA4307">
        <w:rPr>
          <w:b/>
        </w:rPr>
        <w:fldChar w:fldCharType="end"/>
      </w:r>
      <w:r w:rsidRPr="00FA4307">
        <w:rPr>
          <w:b/>
        </w:rPr>
        <w:t xml:space="preserve"> </w:t>
      </w:r>
      <w:r w:rsidRPr="00FA4307">
        <w:rPr>
          <w:b/>
        </w:rPr>
        <w:fldChar w:fldCharType="begin"/>
      </w:r>
      <w:r w:rsidRPr="00FA4307">
        <w:rPr>
          <w:b/>
        </w:rPr>
        <w:instrText xml:space="preserve"> REF _Ref521338275 \h </w:instrText>
      </w:r>
      <w:r>
        <w:rPr>
          <w:b/>
        </w:rPr>
        <w:instrText xml:space="preserve"> \* MERGEFORMAT </w:instrText>
      </w:r>
      <w:r w:rsidRPr="00FA4307">
        <w:rPr>
          <w:b/>
        </w:rPr>
      </w:r>
      <w:r w:rsidRPr="00FA4307">
        <w:rPr>
          <w:b/>
        </w:rPr>
        <w:fldChar w:fldCharType="separate"/>
      </w:r>
      <w:r w:rsidRPr="00FA4307">
        <w:rPr>
          <w:b/>
          <w:bCs/>
        </w:rPr>
        <w:t>RAN2 is kindly asked to adopt the change request submitted in [5].</w:t>
      </w:r>
      <w:r w:rsidRPr="00FA4307">
        <w:rPr>
          <w:b/>
        </w:rPr>
        <w:fldChar w:fldCharType="end"/>
      </w:r>
    </w:p>
    <w:p w14:paraId="0FDCFAC2" w14:textId="77777777" w:rsidR="00CD4C7B" w:rsidRPr="006E13D1" w:rsidRDefault="68D97D0E" w:rsidP="00CD4C7B">
      <w:pPr>
        <w:pStyle w:val="Heading1"/>
      </w:pPr>
      <w:r>
        <w:lastRenderedPageBreak/>
        <w:t>References</w:t>
      </w:r>
    </w:p>
    <w:p w14:paraId="4F4EB9DB" w14:textId="399BFE2C" w:rsidR="00ED56D6" w:rsidRDefault="00ED56D6" w:rsidP="00ED56D6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6" w:name="_Ref521333516"/>
      <w:bookmarkStart w:id="7" w:name="_Ref516483888"/>
      <w:bookmarkStart w:id="8" w:name="_Ref75086397"/>
      <w:r w:rsidRPr="00ED56D6">
        <w:t>3GPP TSG-RAN WG2 NR AH</w:t>
      </w:r>
      <w:r>
        <w:t>-</w:t>
      </w:r>
      <w:r w:rsidRPr="00ED56D6">
        <w:t>1807 Meeting</w:t>
      </w:r>
      <w:r>
        <w:t xml:space="preserve"> Chairman Notes</w:t>
      </w:r>
      <w:bookmarkEnd w:id="6"/>
    </w:p>
    <w:p w14:paraId="3CE50921" w14:textId="72E53C70" w:rsidR="00ED56D6" w:rsidRDefault="00ED56D6" w:rsidP="0090297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9" w:name="_Ref521333532"/>
      <w:r w:rsidRPr="00ED56D6">
        <w:t>R2-1810951</w:t>
      </w:r>
      <w:r>
        <w:t xml:space="preserve"> </w:t>
      </w:r>
      <w:r w:rsidRPr="00BA5930">
        <w:rPr>
          <w:i/>
        </w:rPr>
        <w:t>Clarification for Event A4 and A5</w:t>
      </w:r>
      <w:r>
        <w:t>, 3GPP TSG-RAN WG2 AH-1807 Montreal, Canada, 2nd - 6th of July 2018</w:t>
      </w:r>
      <w:bookmarkEnd w:id="9"/>
    </w:p>
    <w:p w14:paraId="2B8C910F" w14:textId="73F783F9" w:rsidR="00CD4C7B" w:rsidRDefault="68D97D0E" w:rsidP="007D2BB8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0" w:name="_Ref521333583"/>
      <w:r>
        <w:t xml:space="preserve">3GPP TS 38.331 </w:t>
      </w:r>
      <w:r w:rsidRPr="009F234B">
        <w:rPr>
          <w:i/>
        </w:rPr>
        <w:t>NR; Radio Resource Control (RRC); Protocol specification</w:t>
      </w:r>
      <w:r w:rsidR="009C52CF">
        <w:t>, version 15.3</w:t>
      </w:r>
      <w:r>
        <w:t>.</w:t>
      </w:r>
      <w:r w:rsidR="009C52CF">
        <w:t>0</w:t>
      </w:r>
      <w:r>
        <w:t xml:space="preserve">, </w:t>
      </w:r>
      <w:r w:rsidR="009C52CF">
        <w:t>September</w:t>
      </w:r>
      <w:r>
        <w:t xml:space="preserve"> 2018</w:t>
      </w:r>
      <w:bookmarkEnd w:id="7"/>
      <w:bookmarkEnd w:id="10"/>
    </w:p>
    <w:p w14:paraId="490F9FE0" w14:textId="5C22A8C5" w:rsidR="00F72293" w:rsidRDefault="00F72293" w:rsidP="00F72293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1" w:name="_Ref521335425"/>
      <w:r>
        <w:t xml:space="preserve">3GPP TS 36.300 </w:t>
      </w:r>
      <w:r w:rsidRPr="00BA5930">
        <w:rPr>
          <w:i/>
        </w:rPr>
        <w:t>E-UTRAN Overall description; Stage 2</w:t>
      </w:r>
      <w:r>
        <w:t>, version 10.2.0, December 2010</w:t>
      </w:r>
      <w:bookmarkEnd w:id="11"/>
    </w:p>
    <w:p w14:paraId="5524F183" w14:textId="0A2834DB" w:rsidR="00CD4C7B" w:rsidRPr="006E13D1" w:rsidRDefault="009C52CF" w:rsidP="0057613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2" w:name="_Ref521337257"/>
      <w:r>
        <w:t>R</w:t>
      </w:r>
      <w:r w:rsidR="00AF20AA">
        <w:t>2-1814458</w:t>
      </w:r>
      <w:r w:rsidR="005674B2">
        <w:t xml:space="preserve"> </w:t>
      </w:r>
      <w:r w:rsidR="005674B2" w:rsidRPr="00576131">
        <w:rPr>
          <w:i/>
        </w:rPr>
        <w:t xml:space="preserve">CR to 38.331 </w:t>
      </w:r>
      <w:r w:rsidR="0078279A" w:rsidRPr="00576131">
        <w:rPr>
          <w:i/>
        </w:rPr>
        <w:t>A3 and A5 corrections - neighbouring cell definition</w:t>
      </w:r>
      <w:r w:rsidR="005674B2">
        <w:t xml:space="preserve">, </w:t>
      </w:r>
      <w:bookmarkEnd w:id="8"/>
      <w:bookmarkEnd w:id="12"/>
      <w:r w:rsidR="00576131">
        <w:t>3GPP TSG-RAN WG2 Meeting #103bis, Chengdu, China, 8 - 12 October 2018</w:t>
      </w:r>
    </w:p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 w:rsidSect="006042F0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D6C5C7" w14:textId="77777777" w:rsidR="00FD4536" w:rsidRDefault="00FD4536">
      <w:r>
        <w:separator/>
      </w:r>
    </w:p>
  </w:endnote>
  <w:endnote w:type="continuationSeparator" w:id="0">
    <w:p w14:paraId="3F09C016" w14:textId="77777777" w:rsidR="00FD4536" w:rsidRDefault="00FD4536">
      <w:r>
        <w:continuationSeparator/>
      </w:r>
    </w:p>
  </w:endnote>
  <w:endnote w:type="continuationNotice" w:id="1">
    <w:p w14:paraId="460158C9" w14:textId="77777777" w:rsidR="00FD4536" w:rsidRDefault="00FD45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14"/>
      <w:gridCol w:w="3214"/>
      <w:gridCol w:w="3214"/>
    </w:tblGrid>
    <w:tr w:rsidR="00FC289E" w14:paraId="0B38B714" w14:textId="77777777" w:rsidTr="68D97D0E">
      <w:tc>
        <w:tcPr>
          <w:tcW w:w="3214" w:type="dxa"/>
        </w:tcPr>
        <w:p w14:paraId="61CB19D1" w14:textId="4C72D421" w:rsidR="00FC289E" w:rsidRDefault="00FC289E" w:rsidP="68D97D0E">
          <w:pPr>
            <w:ind w:left="-115"/>
          </w:pPr>
        </w:p>
      </w:tc>
      <w:tc>
        <w:tcPr>
          <w:tcW w:w="3214" w:type="dxa"/>
        </w:tcPr>
        <w:p w14:paraId="3C7A955B" w14:textId="04789710" w:rsidR="00FC289E" w:rsidRDefault="00FC289E" w:rsidP="68D97D0E">
          <w:pPr>
            <w:jc w:val="center"/>
          </w:pPr>
        </w:p>
      </w:tc>
      <w:tc>
        <w:tcPr>
          <w:tcW w:w="3214" w:type="dxa"/>
        </w:tcPr>
        <w:p w14:paraId="415E8B14" w14:textId="5886B83C" w:rsidR="00FC289E" w:rsidRDefault="00FC289E" w:rsidP="68D97D0E">
          <w:pPr>
            <w:ind w:right="-115"/>
            <w:jc w:val="right"/>
          </w:pPr>
        </w:p>
      </w:tc>
    </w:tr>
  </w:tbl>
  <w:p w14:paraId="01BD3045" w14:textId="1A75E232" w:rsidR="00FC289E" w:rsidRDefault="00FC289E" w:rsidP="68D97D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A3120F" w14:textId="77777777" w:rsidR="00FD4536" w:rsidRDefault="00FD4536">
      <w:r>
        <w:separator/>
      </w:r>
    </w:p>
  </w:footnote>
  <w:footnote w:type="continuationSeparator" w:id="0">
    <w:p w14:paraId="1AE479CB" w14:textId="77777777" w:rsidR="00FD4536" w:rsidRDefault="00FD4536">
      <w:r>
        <w:continuationSeparator/>
      </w:r>
    </w:p>
  </w:footnote>
  <w:footnote w:type="continuationNotice" w:id="1">
    <w:p w14:paraId="75A3CE41" w14:textId="77777777" w:rsidR="00FD4536" w:rsidRDefault="00FD453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14"/>
      <w:gridCol w:w="3214"/>
      <w:gridCol w:w="3214"/>
    </w:tblGrid>
    <w:tr w:rsidR="00FC289E" w14:paraId="528A0FE2" w14:textId="77777777" w:rsidTr="68D97D0E">
      <w:tc>
        <w:tcPr>
          <w:tcW w:w="3214" w:type="dxa"/>
        </w:tcPr>
        <w:p w14:paraId="14272BD5" w14:textId="1123DCE8" w:rsidR="00FC289E" w:rsidRDefault="00FC289E" w:rsidP="68D97D0E">
          <w:pPr>
            <w:ind w:left="-115"/>
          </w:pPr>
        </w:p>
      </w:tc>
      <w:tc>
        <w:tcPr>
          <w:tcW w:w="3214" w:type="dxa"/>
        </w:tcPr>
        <w:p w14:paraId="0BA64EFA" w14:textId="34E6DD00" w:rsidR="00FC289E" w:rsidRDefault="00FC289E" w:rsidP="68D97D0E">
          <w:pPr>
            <w:jc w:val="center"/>
          </w:pPr>
        </w:p>
      </w:tc>
      <w:tc>
        <w:tcPr>
          <w:tcW w:w="3214" w:type="dxa"/>
        </w:tcPr>
        <w:p w14:paraId="2373B8CC" w14:textId="40746C19" w:rsidR="00FC289E" w:rsidRDefault="00FC289E" w:rsidP="68D97D0E">
          <w:pPr>
            <w:ind w:right="-115"/>
            <w:jc w:val="right"/>
          </w:pPr>
        </w:p>
      </w:tc>
    </w:tr>
  </w:tbl>
  <w:p w14:paraId="2266C759" w14:textId="557F4669" w:rsidR="00FC289E" w:rsidRDefault="00FC289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79B55D0"/>
    <w:multiLevelType w:val="hybridMultilevel"/>
    <w:tmpl w:val="8390BA56"/>
    <w:lvl w:ilvl="0" w:tplc="3CA84CE0">
      <w:start w:val="1"/>
      <w:numFmt w:val="decimal"/>
      <w:lvlText w:val="Proposal %1: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3154D2"/>
    <w:multiLevelType w:val="hybridMultilevel"/>
    <w:tmpl w:val="6434BB6C"/>
    <w:lvl w:ilvl="0" w:tplc="21BA4B0C">
      <w:start w:val="1"/>
      <w:numFmt w:val="decimal"/>
      <w:lvlText w:val="Proposal %1:"/>
      <w:lvlJc w:val="left"/>
      <w:pPr>
        <w:ind w:left="720" w:hanging="360"/>
      </w:pPr>
      <w:rPr>
        <w:rFonts w:hint="eastAsi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B5362C"/>
    <w:multiLevelType w:val="hybridMultilevel"/>
    <w:tmpl w:val="F9C455F4"/>
    <w:lvl w:ilvl="0" w:tplc="1CFA0F7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9467A4D"/>
    <w:multiLevelType w:val="hybridMultilevel"/>
    <w:tmpl w:val="A77CA9F4"/>
    <w:lvl w:ilvl="0" w:tplc="401E1314">
      <w:start w:val="1"/>
      <w:numFmt w:val="decimal"/>
      <w:lvlText w:val="Proposal %1:"/>
      <w:lvlJc w:val="left"/>
      <w:pPr>
        <w:ind w:left="0" w:firstLine="0"/>
      </w:pPr>
      <w:rPr>
        <w:rFonts w:hint="eastAsi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C82090"/>
    <w:multiLevelType w:val="hybridMultilevel"/>
    <w:tmpl w:val="DDB87F40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9777FF"/>
    <w:multiLevelType w:val="hybridMultilevel"/>
    <w:tmpl w:val="7B5C194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4F6406"/>
    <w:multiLevelType w:val="hybridMultilevel"/>
    <w:tmpl w:val="05D05B98"/>
    <w:lvl w:ilvl="0" w:tplc="FB6ABE5E">
      <w:start w:val="1"/>
      <w:numFmt w:val="decimal"/>
      <w:lvlText w:val="Observation %1:"/>
      <w:lvlJc w:val="left"/>
      <w:pPr>
        <w:ind w:left="720" w:hanging="360"/>
      </w:pPr>
      <w:rPr>
        <w:rFonts w:hint="eastAsi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BB15EB"/>
    <w:multiLevelType w:val="hybridMultilevel"/>
    <w:tmpl w:val="047A0C0A"/>
    <w:lvl w:ilvl="0" w:tplc="89608A82">
      <w:start w:val="1"/>
      <w:numFmt w:val="decimal"/>
      <w:lvlText w:val="Observation %1:"/>
      <w:lvlJc w:val="left"/>
      <w:pPr>
        <w:ind w:left="0" w:firstLine="0"/>
      </w:pPr>
      <w:rPr>
        <w:rFonts w:hint="eastAsi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647FB4"/>
    <w:multiLevelType w:val="hybridMultilevel"/>
    <w:tmpl w:val="259EA46A"/>
    <w:lvl w:ilvl="0" w:tplc="0CCE96BC">
      <w:start w:val="1"/>
      <w:numFmt w:val="decimal"/>
      <w:lvlText w:val="Observation %1:"/>
      <w:lvlJc w:val="left"/>
      <w:pPr>
        <w:ind w:left="0" w:firstLine="0"/>
      </w:pPr>
      <w:rPr>
        <w:rFonts w:hint="eastAsia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371E22"/>
    <w:multiLevelType w:val="hybridMultilevel"/>
    <w:tmpl w:val="32569706"/>
    <w:lvl w:ilvl="0" w:tplc="C98485E8">
      <w:start w:val="1"/>
      <w:numFmt w:val="decimal"/>
      <w:lvlText w:val="Observation %1:"/>
      <w:lvlJc w:val="left"/>
      <w:pPr>
        <w:ind w:left="0" w:firstLine="0"/>
      </w:pPr>
      <w:rPr>
        <w:rFonts w:hint="eastAsi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013AFB"/>
    <w:multiLevelType w:val="hybridMultilevel"/>
    <w:tmpl w:val="FDAE9C58"/>
    <w:lvl w:ilvl="0" w:tplc="B8C4C726">
      <w:start w:val="1"/>
      <w:numFmt w:val="decimal"/>
      <w:lvlText w:val="Proposal %1: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8"/>
  </w:num>
  <w:num w:numId="6">
    <w:abstractNumId w:val="4"/>
  </w:num>
  <w:num w:numId="7">
    <w:abstractNumId w:val="11"/>
  </w:num>
  <w:num w:numId="8">
    <w:abstractNumId w:val="2"/>
  </w:num>
  <w:num w:numId="9">
    <w:abstractNumId w:val="13"/>
  </w:num>
  <w:num w:numId="10">
    <w:abstractNumId w:val="12"/>
  </w:num>
  <w:num w:numId="11">
    <w:abstractNumId w:val="7"/>
  </w:num>
  <w:num w:numId="12">
    <w:abstractNumId w:val="9"/>
  </w:num>
  <w:num w:numId="13">
    <w:abstractNumId w:val="6"/>
  </w:num>
  <w:num w:numId="14">
    <w:abstractNumId w:val="3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23716"/>
    <w:rsid w:val="0003153F"/>
    <w:rsid w:val="00033397"/>
    <w:rsid w:val="00040095"/>
    <w:rsid w:val="00080512"/>
    <w:rsid w:val="00090468"/>
    <w:rsid w:val="000B47A2"/>
    <w:rsid w:val="000B7BCF"/>
    <w:rsid w:val="000C522B"/>
    <w:rsid w:val="000D4069"/>
    <w:rsid w:val="000D58AB"/>
    <w:rsid w:val="00100A53"/>
    <w:rsid w:val="00100C41"/>
    <w:rsid w:val="0010463D"/>
    <w:rsid w:val="00112F1A"/>
    <w:rsid w:val="0011373B"/>
    <w:rsid w:val="0011469A"/>
    <w:rsid w:val="00120F36"/>
    <w:rsid w:val="00136019"/>
    <w:rsid w:val="00145075"/>
    <w:rsid w:val="001741A0"/>
    <w:rsid w:val="00175FA0"/>
    <w:rsid w:val="001772A3"/>
    <w:rsid w:val="00194CD0"/>
    <w:rsid w:val="001A656D"/>
    <w:rsid w:val="001B2B28"/>
    <w:rsid w:val="001B49C9"/>
    <w:rsid w:val="001C4F79"/>
    <w:rsid w:val="001F168B"/>
    <w:rsid w:val="001F48DD"/>
    <w:rsid w:val="001F7831"/>
    <w:rsid w:val="00204045"/>
    <w:rsid w:val="0020712B"/>
    <w:rsid w:val="00211ED3"/>
    <w:rsid w:val="00222076"/>
    <w:rsid w:val="002259DB"/>
    <w:rsid w:val="0022606D"/>
    <w:rsid w:val="00231728"/>
    <w:rsid w:val="002450AD"/>
    <w:rsid w:val="00245644"/>
    <w:rsid w:val="002610D8"/>
    <w:rsid w:val="0026535E"/>
    <w:rsid w:val="002747EC"/>
    <w:rsid w:val="0028059D"/>
    <w:rsid w:val="002855BF"/>
    <w:rsid w:val="002A6586"/>
    <w:rsid w:val="002C77EF"/>
    <w:rsid w:val="002F0D22"/>
    <w:rsid w:val="002F19ED"/>
    <w:rsid w:val="003172DC"/>
    <w:rsid w:val="00325AE3"/>
    <w:rsid w:val="00326069"/>
    <w:rsid w:val="0035462D"/>
    <w:rsid w:val="00364B41"/>
    <w:rsid w:val="003A41EF"/>
    <w:rsid w:val="003B26EF"/>
    <w:rsid w:val="003B40AD"/>
    <w:rsid w:val="003C01FA"/>
    <w:rsid w:val="003C4E37"/>
    <w:rsid w:val="003D0B8C"/>
    <w:rsid w:val="003E16BE"/>
    <w:rsid w:val="003F4E28"/>
    <w:rsid w:val="004006E8"/>
    <w:rsid w:val="00401855"/>
    <w:rsid w:val="00430E98"/>
    <w:rsid w:val="00477455"/>
    <w:rsid w:val="004820A9"/>
    <w:rsid w:val="00491B8C"/>
    <w:rsid w:val="004A1F7B"/>
    <w:rsid w:val="004C44D2"/>
    <w:rsid w:val="004C799C"/>
    <w:rsid w:val="004C7FE2"/>
    <w:rsid w:val="004D3578"/>
    <w:rsid w:val="004D366E"/>
    <w:rsid w:val="004D380D"/>
    <w:rsid w:val="004E213A"/>
    <w:rsid w:val="004F3C75"/>
    <w:rsid w:val="004F7C81"/>
    <w:rsid w:val="00503171"/>
    <w:rsid w:val="00506C28"/>
    <w:rsid w:val="00526ABD"/>
    <w:rsid w:val="00534DA0"/>
    <w:rsid w:val="00542E69"/>
    <w:rsid w:val="005439C8"/>
    <w:rsid w:val="00543E6C"/>
    <w:rsid w:val="00565087"/>
    <w:rsid w:val="0056573F"/>
    <w:rsid w:val="005674B2"/>
    <w:rsid w:val="00576131"/>
    <w:rsid w:val="005862DF"/>
    <w:rsid w:val="006042F0"/>
    <w:rsid w:val="00611566"/>
    <w:rsid w:val="00613145"/>
    <w:rsid w:val="00615979"/>
    <w:rsid w:val="0064188A"/>
    <w:rsid w:val="00646D99"/>
    <w:rsid w:val="006539DF"/>
    <w:rsid w:val="00656910"/>
    <w:rsid w:val="00657D0C"/>
    <w:rsid w:val="00667DFC"/>
    <w:rsid w:val="006B5955"/>
    <w:rsid w:val="006C66D8"/>
    <w:rsid w:val="006D1E24"/>
    <w:rsid w:val="006D274A"/>
    <w:rsid w:val="006E1417"/>
    <w:rsid w:val="006F6A2C"/>
    <w:rsid w:val="00710201"/>
    <w:rsid w:val="007174ED"/>
    <w:rsid w:val="007264AD"/>
    <w:rsid w:val="0073222A"/>
    <w:rsid w:val="007342B5"/>
    <w:rsid w:val="00734A5B"/>
    <w:rsid w:val="00740ABD"/>
    <w:rsid w:val="00744E76"/>
    <w:rsid w:val="00757D40"/>
    <w:rsid w:val="00765744"/>
    <w:rsid w:val="00781F0F"/>
    <w:rsid w:val="0078279A"/>
    <w:rsid w:val="0078727C"/>
    <w:rsid w:val="0079049D"/>
    <w:rsid w:val="007926BB"/>
    <w:rsid w:val="00792BED"/>
    <w:rsid w:val="00793DC5"/>
    <w:rsid w:val="007B08B0"/>
    <w:rsid w:val="007B18D8"/>
    <w:rsid w:val="007B26AE"/>
    <w:rsid w:val="007B6D95"/>
    <w:rsid w:val="007C095F"/>
    <w:rsid w:val="007C49EC"/>
    <w:rsid w:val="007D2BB8"/>
    <w:rsid w:val="007D74C6"/>
    <w:rsid w:val="007E4591"/>
    <w:rsid w:val="00801E8A"/>
    <w:rsid w:val="008028A4"/>
    <w:rsid w:val="00802C8F"/>
    <w:rsid w:val="00813245"/>
    <w:rsid w:val="00857614"/>
    <w:rsid w:val="008768CA"/>
    <w:rsid w:val="00877EF9"/>
    <w:rsid w:val="00880559"/>
    <w:rsid w:val="008A4F4C"/>
    <w:rsid w:val="008A5479"/>
    <w:rsid w:val="008B5306"/>
    <w:rsid w:val="008D2E4D"/>
    <w:rsid w:val="008D3B3E"/>
    <w:rsid w:val="008F4148"/>
    <w:rsid w:val="0090271F"/>
    <w:rsid w:val="00902977"/>
    <w:rsid w:val="00902DB9"/>
    <w:rsid w:val="0090466A"/>
    <w:rsid w:val="00936071"/>
    <w:rsid w:val="00940212"/>
    <w:rsid w:val="00942EC2"/>
    <w:rsid w:val="00961B32"/>
    <w:rsid w:val="00970DB3"/>
    <w:rsid w:val="00974BB0"/>
    <w:rsid w:val="0098625F"/>
    <w:rsid w:val="0099310E"/>
    <w:rsid w:val="009A0AF3"/>
    <w:rsid w:val="009B07CD"/>
    <w:rsid w:val="009C19E9"/>
    <w:rsid w:val="009C52CF"/>
    <w:rsid w:val="009D74A6"/>
    <w:rsid w:val="009F234B"/>
    <w:rsid w:val="00A010AE"/>
    <w:rsid w:val="00A018F5"/>
    <w:rsid w:val="00A06B2F"/>
    <w:rsid w:val="00A10F02"/>
    <w:rsid w:val="00A15D0D"/>
    <w:rsid w:val="00A204CA"/>
    <w:rsid w:val="00A50281"/>
    <w:rsid w:val="00A53724"/>
    <w:rsid w:val="00A70E2A"/>
    <w:rsid w:val="00A82346"/>
    <w:rsid w:val="00A9671C"/>
    <w:rsid w:val="00AA1553"/>
    <w:rsid w:val="00AA3D61"/>
    <w:rsid w:val="00AF20AA"/>
    <w:rsid w:val="00B05962"/>
    <w:rsid w:val="00B15449"/>
    <w:rsid w:val="00B16104"/>
    <w:rsid w:val="00B27303"/>
    <w:rsid w:val="00B32331"/>
    <w:rsid w:val="00B435BB"/>
    <w:rsid w:val="00B47FD1"/>
    <w:rsid w:val="00B516BB"/>
    <w:rsid w:val="00B57DCF"/>
    <w:rsid w:val="00B7789D"/>
    <w:rsid w:val="00B924F1"/>
    <w:rsid w:val="00BA5930"/>
    <w:rsid w:val="00BA670F"/>
    <w:rsid w:val="00BA69BF"/>
    <w:rsid w:val="00BB3B00"/>
    <w:rsid w:val="00BC3555"/>
    <w:rsid w:val="00BF1F1C"/>
    <w:rsid w:val="00C00D14"/>
    <w:rsid w:val="00C12B51"/>
    <w:rsid w:val="00C2189E"/>
    <w:rsid w:val="00C24650"/>
    <w:rsid w:val="00C33079"/>
    <w:rsid w:val="00C53EA9"/>
    <w:rsid w:val="00C83A13"/>
    <w:rsid w:val="00C9068C"/>
    <w:rsid w:val="00C92967"/>
    <w:rsid w:val="00CA3D0C"/>
    <w:rsid w:val="00CA654B"/>
    <w:rsid w:val="00CC0694"/>
    <w:rsid w:val="00CD4C7B"/>
    <w:rsid w:val="00D3319A"/>
    <w:rsid w:val="00D33BE3"/>
    <w:rsid w:val="00D3792D"/>
    <w:rsid w:val="00D46676"/>
    <w:rsid w:val="00D55E47"/>
    <w:rsid w:val="00D62E19"/>
    <w:rsid w:val="00D67CD1"/>
    <w:rsid w:val="00D738D6"/>
    <w:rsid w:val="00D80795"/>
    <w:rsid w:val="00D854BE"/>
    <w:rsid w:val="00D87E00"/>
    <w:rsid w:val="00D9134D"/>
    <w:rsid w:val="00D94BE0"/>
    <w:rsid w:val="00D96D11"/>
    <w:rsid w:val="00DA7A03"/>
    <w:rsid w:val="00DB0DB8"/>
    <w:rsid w:val="00DB1818"/>
    <w:rsid w:val="00DC309B"/>
    <w:rsid w:val="00DC4DA2"/>
    <w:rsid w:val="00DE3788"/>
    <w:rsid w:val="00E0086E"/>
    <w:rsid w:val="00E278C6"/>
    <w:rsid w:val="00E471CF"/>
    <w:rsid w:val="00E47AF3"/>
    <w:rsid w:val="00E62835"/>
    <w:rsid w:val="00E77645"/>
    <w:rsid w:val="00E83697"/>
    <w:rsid w:val="00EA25A8"/>
    <w:rsid w:val="00EC3EEB"/>
    <w:rsid w:val="00EC4A25"/>
    <w:rsid w:val="00ED56D6"/>
    <w:rsid w:val="00F025A2"/>
    <w:rsid w:val="00F07388"/>
    <w:rsid w:val="00F2026E"/>
    <w:rsid w:val="00F2210A"/>
    <w:rsid w:val="00F37743"/>
    <w:rsid w:val="00F54A3D"/>
    <w:rsid w:val="00F54CB0"/>
    <w:rsid w:val="00F64E4B"/>
    <w:rsid w:val="00F653B8"/>
    <w:rsid w:val="00F71B89"/>
    <w:rsid w:val="00F72293"/>
    <w:rsid w:val="00F7353C"/>
    <w:rsid w:val="00F76F8F"/>
    <w:rsid w:val="00F860AC"/>
    <w:rsid w:val="00FA1266"/>
    <w:rsid w:val="00FA4307"/>
    <w:rsid w:val="00FB36FA"/>
    <w:rsid w:val="00FC1192"/>
    <w:rsid w:val="00FC289E"/>
    <w:rsid w:val="00FD4536"/>
    <w:rsid w:val="00FE251B"/>
    <w:rsid w:val="0DE3EB53"/>
    <w:rsid w:val="28CD3C46"/>
    <w:rsid w:val="68D97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99310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9310E"/>
  </w:style>
  <w:style w:type="character" w:customStyle="1" w:styleId="CommentTextChar">
    <w:name w:val="Comment Text Char"/>
    <w:basedOn w:val="DefaultParagraphFont"/>
    <w:link w:val="CommentText"/>
    <w:rsid w:val="0099310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931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9310E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4820A9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7D2BB8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OChar">
    <w:name w:val="NO Char"/>
    <w:link w:val="NO"/>
    <w:qFormat/>
    <w:rsid w:val="00BF1F1C"/>
    <w:rPr>
      <w:lang w:eastAsia="en-US"/>
    </w:rPr>
  </w:style>
  <w:style w:type="character" w:customStyle="1" w:styleId="B1Char1">
    <w:name w:val="B1 Char1"/>
    <w:link w:val="B1"/>
    <w:qFormat/>
    <w:rsid w:val="00BF1F1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651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5AIRPNAIUNRU-859666464-3905</_dlc_DocId>
    <_dlc_DocIdUrl xmlns="71c5aaf6-e6ce-465b-b873-5148d2a4c105">
      <Url>https://nokia.sharepoint.com/sites/c5g/e2earch/_layouts/15/DocIdRedir.aspx?ID=5AIRPNAIUNRU-859666464-3905</Url>
      <Description>5AIRPNAIUNRU-859666464-3905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B6C45A-598A-4104-82FF-12BA0192AC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5C6DCD-70DA-41F8-A095-4E7C5EC1EA8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5142084-F2EA-426B-A589-0336AFBF95B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F8783BB-D50D-48BD-919E-CFB9670610A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4C7D4DE-1C32-4719-B816-6FC9B2EA81A3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95F6FBCE-F3A8-4D0A-AE1B-64DEFEA9A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210</TotalTime>
  <Pages>1</Pages>
  <Words>1045</Words>
  <Characters>6272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7303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lastModifiedBy>Nokia</cp:lastModifiedBy>
  <cp:revision>48</cp:revision>
  <dcterms:created xsi:type="dcterms:W3CDTF">2018-08-06T13:11:00Z</dcterms:created>
  <dcterms:modified xsi:type="dcterms:W3CDTF">2018-09-27T20:52:00Z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09719eca-83af-4c6d-9143-6bfd75720e21</vt:lpwstr>
  </property>
</Properties>
</file>